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FE1D4" w14:textId="77777777" w:rsidR="003C706E" w:rsidRPr="003C706E" w:rsidRDefault="003C706E" w:rsidP="003C706E">
      <w:pPr>
        <w:shd w:val="clear" w:color="auto" w:fill="FFFFFF"/>
        <w:spacing w:before="160" w:after="160"/>
        <w:jc w:val="both"/>
        <w:outlineLvl w:val="3"/>
        <w:rPr>
          <w:rFonts w:ascii="Arial" w:eastAsia="Times New Roman" w:hAnsi="Arial" w:cs="Arial"/>
          <w:b/>
          <w:bCs/>
          <w:color w:val="2F5496" w:themeColor="accent1" w:themeShade="BF"/>
          <w:lang w:val="en-GB"/>
        </w:rPr>
      </w:pPr>
      <w:r w:rsidRPr="003C706E">
        <w:rPr>
          <w:rFonts w:ascii="Arial" w:eastAsia="Times New Roman" w:hAnsi="Arial" w:cs="Arial"/>
          <w:b/>
          <w:bCs/>
          <w:color w:val="2F5496" w:themeColor="accent1" w:themeShade="BF"/>
          <w:lang w:val="en-GB"/>
        </w:rPr>
        <w:t>Country Overview</w:t>
      </w:r>
    </w:p>
    <w:p w14:paraId="56672DFF" w14:textId="77777777"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With the most biodiversity per square kilometre of any nation, </w:t>
      </w:r>
      <w:r w:rsidRPr="003C706E">
        <w:rPr>
          <w:rFonts w:ascii="Arial" w:eastAsia="Times New Roman" w:hAnsi="Arial" w:cs="Arial"/>
          <w:b/>
          <w:bCs/>
          <w:color w:val="333333"/>
          <w:sz w:val="18"/>
          <w:szCs w:val="18"/>
          <w:lang w:val="en-GB"/>
        </w:rPr>
        <w:t>Ecuador</w:t>
      </w:r>
      <w:r w:rsidRPr="003C706E">
        <w:rPr>
          <w:rFonts w:ascii="Arial" w:eastAsia="Times New Roman" w:hAnsi="Arial" w:cs="Arial"/>
          <w:color w:val="333333"/>
          <w:sz w:val="18"/>
          <w:szCs w:val="18"/>
          <w:lang w:val="en-GB"/>
        </w:rPr>
        <w:t xml:space="preserve"> is one of the world’s seventeen megadiverse countries encompassing the Andes Mountains, the Amazon rainforest, the Galapagos Islands, the most important watershed of the South American west coast, and a marine zone driven by productive marine currents. Ecuador’s ecosystems are home to 18% of the world's bird species and orchids, 10% of the world´s amphibians, and 8% of the world´s mammals, many of them endemic to Ecuador and the Galapagos Islands.</w:t>
      </w:r>
    </w:p>
    <w:p w14:paraId="4F5C8161"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These rich and diverse natural resources are recognized in </w:t>
      </w:r>
      <w:r w:rsidRPr="003C706E">
        <w:rPr>
          <w:rFonts w:ascii="Arial" w:eastAsia="Times New Roman" w:hAnsi="Arial" w:cs="Arial"/>
          <w:b/>
          <w:bCs/>
          <w:color w:val="005CA9"/>
          <w:sz w:val="18"/>
          <w:szCs w:val="18"/>
          <w:u w:val="single"/>
          <w:lang w:val="en-GB"/>
        </w:rPr>
        <w:t>Ecuador’s National Development Plan 2013-2017</w:t>
      </w:r>
      <w:r w:rsidRPr="003C706E">
        <w:rPr>
          <w:rFonts w:ascii="Arial" w:eastAsia="Times New Roman" w:hAnsi="Arial" w:cs="Arial"/>
          <w:color w:val="333333"/>
          <w:sz w:val="18"/>
          <w:szCs w:val="18"/>
          <w:lang w:val="en-GB"/>
        </w:rPr>
        <w:t xml:space="preserve"> (Plan of “Good Living”), which states that the government has the responsibility to defend the population’s right to a healthy environment. The Plan outlines a transformation process for the country’s productive and energy matrix. The </w:t>
      </w:r>
      <w:r w:rsidRPr="003C706E">
        <w:rPr>
          <w:rFonts w:ascii="Arial" w:eastAsia="Times New Roman" w:hAnsi="Arial" w:cs="Arial"/>
          <w:i/>
          <w:iCs/>
          <w:color w:val="333333"/>
          <w:sz w:val="18"/>
          <w:szCs w:val="18"/>
          <w:lang w:val="en-GB"/>
        </w:rPr>
        <w:t>change of productive matrix</w:t>
      </w:r>
      <w:r w:rsidRPr="003C706E">
        <w:rPr>
          <w:rFonts w:ascii="Arial" w:eastAsia="Times New Roman" w:hAnsi="Arial" w:cs="Arial"/>
          <w:color w:val="333333"/>
          <w:sz w:val="18"/>
          <w:szCs w:val="18"/>
          <w:lang w:val="en-GB"/>
        </w:rPr>
        <w:t xml:space="preserve"> represents a paradigm shift from an economy based on the extraction of non-renewable resources and the export of primary commodities towards a diversified economy based on added-value products, technology, human capital, and ecosystem services. The </w:t>
      </w:r>
      <w:r w:rsidRPr="003C706E">
        <w:rPr>
          <w:rFonts w:ascii="Arial" w:eastAsia="Times New Roman" w:hAnsi="Arial" w:cs="Arial"/>
          <w:i/>
          <w:iCs/>
          <w:color w:val="333333"/>
          <w:sz w:val="18"/>
          <w:szCs w:val="18"/>
          <w:lang w:val="en-GB"/>
        </w:rPr>
        <w:t>change of energy matrix</w:t>
      </w:r>
      <w:r w:rsidRPr="003C706E">
        <w:rPr>
          <w:rFonts w:ascii="Arial" w:eastAsia="Times New Roman" w:hAnsi="Arial" w:cs="Arial"/>
          <w:color w:val="333333"/>
          <w:sz w:val="18"/>
          <w:szCs w:val="18"/>
          <w:lang w:val="en-GB"/>
        </w:rPr>
        <w:t xml:space="preserve"> focuses primarily on the substitution of fossil fuels with hydropower. These transformations are aligned with the Ecuadorian constitution, which recognizes legally enforceable </w:t>
      </w:r>
      <w:r w:rsidRPr="003C706E">
        <w:rPr>
          <w:rFonts w:ascii="Arial" w:eastAsia="Times New Roman" w:hAnsi="Arial" w:cs="Arial"/>
          <w:i/>
          <w:iCs/>
          <w:color w:val="333333"/>
          <w:sz w:val="18"/>
          <w:szCs w:val="18"/>
          <w:lang w:val="en-GB"/>
        </w:rPr>
        <w:t>Rights of Nature</w:t>
      </w:r>
      <w:r w:rsidRPr="003C706E">
        <w:rPr>
          <w:rFonts w:ascii="Arial" w:eastAsia="Times New Roman" w:hAnsi="Arial" w:cs="Arial"/>
          <w:color w:val="333333"/>
          <w:sz w:val="18"/>
          <w:szCs w:val="18"/>
          <w:lang w:val="en-GB"/>
        </w:rPr>
        <w:t>.</w:t>
      </w:r>
    </w:p>
    <w:p w14:paraId="2ADC4134" w14:textId="77777777" w:rsidR="003C706E" w:rsidRPr="003C706E" w:rsidRDefault="003C706E" w:rsidP="003C706E">
      <w:pPr>
        <w:shd w:val="clear" w:color="auto" w:fill="FFFFFF"/>
        <w:spacing w:before="160" w:after="160"/>
        <w:jc w:val="both"/>
        <w:outlineLvl w:val="3"/>
        <w:rPr>
          <w:rFonts w:ascii="Times New Roman" w:eastAsia="Times New Roman" w:hAnsi="Times New Roman" w:cs="Times New Roman"/>
          <w:b/>
          <w:bCs/>
          <w:color w:val="2F5496" w:themeColor="accent1" w:themeShade="BF"/>
          <w:lang w:val="en-GB"/>
        </w:rPr>
      </w:pPr>
      <w:r w:rsidRPr="003C706E">
        <w:rPr>
          <w:rFonts w:ascii="Arial" w:eastAsia="Times New Roman" w:hAnsi="Arial" w:cs="Arial"/>
          <w:b/>
          <w:bCs/>
          <w:color w:val="2F5496" w:themeColor="accent1" w:themeShade="BF"/>
          <w:lang w:val="en-GB"/>
        </w:rPr>
        <w:t>Project Overview</w:t>
      </w:r>
    </w:p>
    <w:p w14:paraId="5EBE2EFF" w14:textId="77777777"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The </w:t>
      </w:r>
      <w:r w:rsidRPr="003C706E">
        <w:rPr>
          <w:rFonts w:ascii="Arial" w:eastAsia="Times New Roman" w:hAnsi="Arial" w:cs="Arial"/>
          <w:b/>
          <w:bCs/>
          <w:color w:val="333333"/>
          <w:sz w:val="18"/>
          <w:szCs w:val="18"/>
          <w:lang w:val="en-GB"/>
        </w:rPr>
        <w:t>TEEB</w:t>
      </w:r>
      <w:r w:rsidRPr="003C706E">
        <w:rPr>
          <w:rFonts w:ascii="Arial" w:eastAsia="Times New Roman" w:hAnsi="Arial" w:cs="Arial"/>
          <w:color w:val="333333"/>
          <w:sz w:val="18"/>
          <w:szCs w:val="18"/>
          <w:lang w:val="en-GB"/>
        </w:rPr>
        <w:t xml:space="preserve"> </w:t>
      </w:r>
      <w:r w:rsidRPr="003C706E">
        <w:rPr>
          <w:rFonts w:ascii="Arial" w:eastAsia="Times New Roman" w:hAnsi="Arial" w:cs="Arial"/>
          <w:b/>
          <w:bCs/>
          <w:color w:val="333333"/>
          <w:sz w:val="18"/>
          <w:szCs w:val="18"/>
          <w:lang w:val="en-GB"/>
        </w:rPr>
        <w:t>Ecuador</w:t>
      </w:r>
      <w:r w:rsidRPr="003C706E">
        <w:rPr>
          <w:rFonts w:ascii="Arial" w:eastAsia="Times New Roman" w:hAnsi="Arial" w:cs="Arial"/>
          <w:color w:val="333333"/>
          <w:sz w:val="18"/>
          <w:szCs w:val="18"/>
          <w:lang w:val="en-GB"/>
        </w:rPr>
        <w:t xml:space="preserve"> project helps policy makers see how investing in natural capital supports the transformation of the country’s productive and energy matrix. Through participative scenario analysis at the landscape level, </w:t>
      </w:r>
      <w:r w:rsidRPr="003C706E">
        <w:rPr>
          <w:rFonts w:ascii="Arial" w:eastAsia="Times New Roman" w:hAnsi="Arial" w:cs="Arial"/>
          <w:b/>
          <w:bCs/>
          <w:color w:val="333333"/>
          <w:sz w:val="18"/>
          <w:szCs w:val="18"/>
          <w:lang w:val="en-GB"/>
        </w:rPr>
        <w:t>TEEB</w:t>
      </w:r>
      <w:r w:rsidRPr="003C706E">
        <w:rPr>
          <w:rFonts w:ascii="Arial" w:eastAsia="Times New Roman" w:hAnsi="Arial" w:cs="Arial"/>
          <w:color w:val="333333"/>
          <w:sz w:val="18"/>
          <w:szCs w:val="18"/>
          <w:lang w:val="en-GB"/>
        </w:rPr>
        <w:t xml:space="preserve"> assesses for the </w:t>
      </w:r>
      <w:r w:rsidRPr="003C706E">
        <w:rPr>
          <w:rFonts w:ascii="Arial" w:eastAsia="Times New Roman" w:hAnsi="Arial" w:cs="Arial"/>
          <w:b/>
          <w:bCs/>
          <w:color w:val="333333"/>
          <w:sz w:val="18"/>
          <w:szCs w:val="18"/>
          <w:shd w:val="clear" w:color="auto" w:fill="FFFFFF"/>
          <w:lang w:val="en-GB"/>
        </w:rPr>
        <w:t xml:space="preserve">Coca watershed </w:t>
      </w:r>
      <w:r w:rsidRPr="003C706E">
        <w:rPr>
          <w:rFonts w:ascii="Arial" w:eastAsia="Times New Roman" w:hAnsi="Arial" w:cs="Arial"/>
          <w:color w:val="333333"/>
          <w:sz w:val="18"/>
          <w:szCs w:val="18"/>
          <w:lang w:val="en-GB"/>
        </w:rPr>
        <w:t>the impacts of different incentive programmes and land use decisions in</w:t>
      </w:r>
      <w:r w:rsidRPr="003C706E">
        <w:rPr>
          <w:rFonts w:ascii="Arial" w:eastAsia="Times New Roman" w:hAnsi="Arial" w:cs="Arial"/>
          <w:color w:val="333333"/>
          <w:sz w:val="18"/>
          <w:szCs w:val="18"/>
          <w:shd w:val="clear" w:color="auto" w:fill="FFFFFF"/>
          <w:lang w:val="en-GB"/>
        </w:rPr>
        <w:t xml:space="preserve"> ecosystem service provisioning under various scenarios of </w:t>
      </w:r>
      <w:r w:rsidRPr="003C706E">
        <w:rPr>
          <w:rFonts w:ascii="Arial" w:eastAsia="Times New Roman" w:hAnsi="Arial" w:cs="Arial"/>
          <w:i/>
          <w:iCs/>
          <w:color w:val="333333"/>
          <w:sz w:val="18"/>
          <w:szCs w:val="18"/>
          <w:shd w:val="clear" w:color="auto" w:fill="FFFFFF"/>
          <w:lang w:val="en-GB"/>
        </w:rPr>
        <w:t>ecosystem restoration</w:t>
      </w:r>
      <w:r w:rsidRPr="003C706E">
        <w:rPr>
          <w:rFonts w:ascii="Arial" w:eastAsia="Times New Roman" w:hAnsi="Arial" w:cs="Arial"/>
          <w:color w:val="333333"/>
          <w:sz w:val="18"/>
          <w:szCs w:val="18"/>
          <w:shd w:val="clear" w:color="auto" w:fill="FFFFFF"/>
          <w:lang w:val="en-GB"/>
        </w:rPr>
        <w:t>,</w:t>
      </w:r>
      <w:r w:rsidRPr="003C706E">
        <w:rPr>
          <w:rFonts w:ascii="Arial" w:eastAsia="Times New Roman" w:hAnsi="Arial" w:cs="Arial"/>
          <w:i/>
          <w:iCs/>
          <w:color w:val="333333"/>
          <w:sz w:val="18"/>
          <w:szCs w:val="18"/>
          <w:shd w:val="clear" w:color="auto" w:fill="FFFFFF"/>
          <w:lang w:val="en-GB"/>
        </w:rPr>
        <w:t xml:space="preserve"> conservation and sustainable use</w:t>
      </w:r>
      <w:r w:rsidRPr="003C706E">
        <w:rPr>
          <w:rFonts w:ascii="Arial" w:eastAsia="Times New Roman" w:hAnsi="Arial" w:cs="Arial"/>
          <w:color w:val="333333"/>
          <w:sz w:val="18"/>
          <w:szCs w:val="18"/>
          <w:shd w:val="clear" w:color="auto" w:fill="FFFFFF"/>
          <w:lang w:val="en-GB"/>
        </w:rPr>
        <w:t xml:space="preserve"> </w:t>
      </w:r>
      <w:r w:rsidRPr="003C706E">
        <w:rPr>
          <w:rFonts w:ascii="Arial" w:eastAsia="Times New Roman" w:hAnsi="Arial" w:cs="Arial"/>
          <w:color w:val="333333"/>
          <w:sz w:val="18"/>
          <w:szCs w:val="18"/>
          <w:lang w:val="en-GB"/>
        </w:rPr>
        <w:t xml:space="preserve">and particularly on the benefits of the </w:t>
      </w:r>
      <w:r w:rsidRPr="003C706E">
        <w:rPr>
          <w:rFonts w:ascii="Arial" w:eastAsia="Times New Roman" w:hAnsi="Arial" w:cs="Arial"/>
          <w:b/>
          <w:bCs/>
          <w:i/>
          <w:iCs/>
          <w:color w:val="005CA9"/>
          <w:sz w:val="18"/>
          <w:szCs w:val="18"/>
          <w:u w:val="single"/>
          <w:lang w:val="en-GB"/>
        </w:rPr>
        <w:t>Socio Bosque</w:t>
      </w:r>
      <w:r w:rsidRPr="003C706E">
        <w:rPr>
          <w:rFonts w:ascii="Arial" w:eastAsia="Times New Roman" w:hAnsi="Arial" w:cs="Arial"/>
          <w:color w:val="333333"/>
          <w:sz w:val="18"/>
          <w:szCs w:val="18"/>
          <w:lang w:val="en-GB"/>
        </w:rPr>
        <w:t xml:space="preserve"> program.</w:t>
      </w:r>
    </w:p>
    <w:p w14:paraId="411DD4F0"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333333"/>
          <w:sz w:val="18"/>
          <w:szCs w:val="18"/>
          <w:shd w:val="clear" w:color="auto" w:fill="FFFFFF"/>
          <w:lang w:val="en-GB"/>
        </w:rPr>
        <w:t xml:space="preserve">The study interrogates the economic tools that could </w:t>
      </w:r>
      <w:r w:rsidRPr="003C706E">
        <w:rPr>
          <w:rFonts w:ascii="Arial" w:eastAsia="Times New Roman" w:hAnsi="Arial" w:cs="Arial"/>
          <w:color w:val="333333"/>
          <w:sz w:val="18"/>
          <w:szCs w:val="18"/>
          <w:lang w:val="en-GB"/>
        </w:rPr>
        <w:t>be applied to maintain adequate water quantity and quality in the watershed. Policy recommendations are made observing the principles of the Ecuadorian constitution including: the right to water, the rights of nature, and the importance of pursuing energy sovereignty without compromising food sovereignty.</w:t>
      </w:r>
    </w:p>
    <w:p w14:paraId="307ECF09" w14:textId="77777777" w:rsidR="003C706E" w:rsidRPr="003C706E" w:rsidRDefault="003C706E" w:rsidP="003C706E">
      <w:pPr>
        <w:shd w:val="clear" w:color="auto" w:fill="FFFFFF"/>
        <w:spacing w:before="160" w:after="160"/>
        <w:jc w:val="both"/>
        <w:outlineLvl w:val="3"/>
        <w:rPr>
          <w:rFonts w:ascii="Times New Roman" w:eastAsia="Times New Roman" w:hAnsi="Times New Roman" w:cs="Times New Roman"/>
          <w:lang w:val="en-GB"/>
        </w:rPr>
      </w:pPr>
      <w:r w:rsidRPr="003C706E">
        <w:rPr>
          <w:rFonts w:ascii="Arial" w:eastAsia="Times New Roman" w:hAnsi="Arial" w:cs="Arial"/>
          <w:b/>
          <w:bCs/>
          <w:color w:val="2F5496" w:themeColor="accent1" w:themeShade="BF"/>
          <w:lang w:val="en-GB"/>
        </w:rPr>
        <w:t>The approach</w:t>
      </w:r>
    </w:p>
    <w:p w14:paraId="0BD94990" w14:textId="77777777"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The study identified several ecosystem services in the </w:t>
      </w:r>
      <w:r w:rsidRPr="003C706E">
        <w:rPr>
          <w:rFonts w:ascii="Arial" w:eastAsia="Times New Roman" w:hAnsi="Arial" w:cs="Arial"/>
          <w:b/>
          <w:bCs/>
          <w:color w:val="333333"/>
          <w:sz w:val="18"/>
          <w:szCs w:val="18"/>
          <w:lang w:val="en-GB"/>
        </w:rPr>
        <w:t xml:space="preserve">Coca watershed </w:t>
      </w:r>
      <w:r w:rsidRPr="003C706E">
        <w:rPr>
          <w:rFonts w:ascii="Arial" w:eastAsia="Times New Roman" w:hAnsi="Arial" w:cs="Arial"/>
          <w:color w:val="333333"/>
          <w:sz w:val="18"/>
          <w:szCs w:val="18"/>
          <w:lang w:val="en-GB"/>
        </w:rPr>
        <w:t>generating</w:t>
      </w:r>
      <w:r w:rsidRPr="003C706E">
        <w:rPr>
          <w:rFonts w:ascii="Arial" w:eastAsia="Times New Roman" w:hAnsi="Arial" w:cs="Arial"/>
          <w:b/>
          <w:bCs/>
          <w:color w:val="333333"/>
          <w:sz w:val="18"/>
          <w:szCs w:val="18"/>
          <w:lang w:val="en-GB"/>
        </w:rPr>
        <w:t xml:space="preserve"> </w:t>
      </w:r>
      <w:r w:rsidRPr="003C706E">
        <w:rPr>
          <w:rFonts w:ascii="Arial" w:eastAsia="Times New Roman" w:hAnsi="Arial" w:cs="Arial"/>
          <w:color w:val="333333"/>
          <w:sz w:val="18"/>
          <w:szCs w:val="18"/>
          <w:lang w:val="en-GB"/>
        </w:rPr>
        <w:t xml:space="preserve">relevant benefits to humans and contributing to key economic activities. Among these are the regulation of water flows, production of drinking water, regulation of sediments, habitat for species, carbon sequestration, the provision of space for recreation and tourism. For their relevance as inputs to hydropower generation, water flow regulation (liquid flows) and sediments regulation (solid flows) were the two ES’s evaluated in the study with the scope being the inputs that these two ecosystem services will potentially deliver to the </w:t>
      </w:r>
      <w:r w:rsidRPr="003C706E">
        <w:rPr>
          <w:rFonts w:ascii="Arial" w:eastAsia="Times New Roman" w:hAnsi="Arial" w:cs="Arial"/>
          <w:color w:val="333333"/>
          <w:sz w:val="18"/>
          <w:szCs w:val="18"/>
          <w:shd w:val="clear" w:color="auto" w:fill="FFFFFF"/>
          <w:lang w:val="en-GB"/>
        </w:rPr>
        <w:t>country’s largest hydropower project the</w:t>
      </w:r>
      <w:r w:rsidRPr="003C706E">
        <w:rPr>
          <w:rFonts w:ascii="Arial" w:eastAsia="Times New Roman" w:hAnsi="Arial" w:cs="Arial"/>
          <w:color w:val="333333"/>
          <w:sz w:val="18"/>
          <w:szCs w:val="18"/>
          <w:lang w:val="en-GB"/>
        </w:rPr>
        <w:t xml:space="preserve"> </w:t>
      </w:r>
      <w:r w:rsidRPr="003C706E">
        <w:rPr>
          <w:rFonts w:ascii="Arial" w:eastAsia="Times New Roman" w:hAnsi="Arial" w:cs="Arial"/>
          <w:b/>
          <w:bCs/>
          <w:color w:val="333333"/>
          <w:sz w:val="18"/>
          <w:szCs w:val="18"/>
          <w:lang w:val="en-GB"/>
        </w:rPr>
        <w:t xml:space="preserve">Coca </w:t>
      </w:r>
      <w:proofErr w:type="spellStart"/>
      <w:r w:rsidRPr="003C706E">
        <w:rPr>
          <w:rFonts w:ascii="Arial" w:eastAsia="Times New Roman" w:hAnsi="Arial" w:cs="Arial"/>
          <w:b/>
          <w:bCs/>
          <w:color w:val="333333"/>
          <w:sz w:val="18"/>
          <w:szCs w:val="18"/>
          <w:lang w:val="en-GB"/>
        </w:rPr>
        <w:t>Codo</w:t>
      </w:r>
      <w:proofErr w:type="spellEnd"/>
      <w:r w:rsidRPr="003C706E">
        <w:rPr>
          <w:rFonts w:ascii="Arial" w:eastAsia="Times New Roman" w:hAnsi="Arial" w:cs="Arial"/>
          <w:b/>
          <w:bCs/>
          <w:color w:val="333333"/>
          <w:sz w:val="18"/>
          <w:szCs w:val="18"/>
          <w:lang w:val="en-GB"/>
        </w:rPr>
        <w:t xml:space="preserve"> Sinclair</w:t>
      </w:r>
      <w:r w:rsidRPr="003C706E">
        <w:rPr>
          <w:rFonts w:ascii="Arial" w:eastAsia="Times New Roman" w:hAnsi="Arial" w:cs="Arial"/>
          <w:color w:val="333333"/>
          <w:sz w:val="18"/>
          <w:szCs w:val="18"/>
          <w:lang w:val="en-GB"/>
        </w:rPr>
        <w:t xml:space="preserve"> </w:t>
      </w:r>
      <w:r w:rsidRPr="003C706E">
        <w:rPr>
          <w:rFonts w:ascii="Arial" w:eastAsia="Times New Roman" w:hAnsi="Arial" w:cs="Arial"/>
          <w:color w:val="333333"/>
          <w:sz w:val="18"/>
          <w:szCs w:val="18"/>
          <w:shd w:val="clear" w:color="auto" w:fill="FFFFFF"/>
          <w:lang w:val="en-GB"/>
        </w:rPr>
        <w:t>(CHCCS) (1,500 MW).</w:t>
      </w:r>
    </w:p>
    <w:p w14:paraId="29E7E31E" w14:textId="688AA927" w:rsidR="003C706E" w:rsidRPr="003C706E" w:rsidRDefault="003C706E" w:rsidP="003C706E">
      <w:pPr>
        <w:shd w:val="clear" w:color="auto" w:fill="FFFFFF"/>
        <w:spacing w:before="40"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Four scenarios for land-use profile were developed according to the application of a determined set of conservation policies. This allowed the estimation of impacts on the </w:t>
      </w:r>
      <w:proofErr w:type="spellStart"/>
      <w:r w:rsidRPr="003C706E">
        <w:rPr>
          <w:rFonts w:ascii="Arial" w:eastAsia="Times New Roman" w:hAnsi="Arial" w:cs="Arial"/>
          <w:color w:val="333333"/>
          <w:sz w:val="18"/>
          <w:szCs w:val="18"/>
          <w:lang w:val="en-GB"/>
        </w:rPr>
        <w:t>the</w:t>
      </w:r>
      <w:proofErr w:type="spellEnd"/>
      <w:r w:rsidRPr="003C706E">
        <w:rPr>
          <w:rFonts w:ascii="Arial" w:eastAsia="Times New Roman" w:hAnsi="Arial" w:cs="Arial"/>
          <w:color w:val="333333"/>
          <w:sz w:val="18"/>
          <w:szCs w:val="18"/>
          <w:lang w:val="en-GB"/>
        </w:rPr>
        <w:t xml:space="preserve"> biophysical flows of the two ecosystem services analysed, water flow regulation and sediment regulation. A monetary value for the benefits that these two services represent to the CHCCS is estimated by inferring the impacts that each scenario represents on revenue generated with hydroelectricity</w:t>
      </w:r>
      <w:r w:rsidRPr="003C706E">
        <w:rPr>
          <w:rStyle w:val="FootnoteReference"/>
          <w:rFonts w:ascii="Arial" w:eastAsia="Times New Roman" w:hAnsi="Arial" w:cs="Arial"/>
          <w:color w:val="333333"/>
          <w:sz w:val="18"/>
          <w:szCs w:val="18"/>
          <w:lang w:val="en-GB"/>
        </w:rPr>
        <w:footnoteReference w:id="1"/>
      </w:r>
      <w:r w:rsidRPr="003C706E">
        <w:rPr>
          <w:rFonts w:ascii="Arial" w:eastAsia="Times New Roman" w:hAnsi="Arial" w:cs="Arial"/>
          <w:color w:val="333333"/>
          <w:sz w:val="18"/>
          <w:szCs w:val="18"/>
          <w:lang w:val="en-GB"/>
        </w:rPr>
        <w:t xml:space="preserve"> and avoided costs in sediment dredging</w:t>
      </w:r>
      <w:r w:rsidRPr="003C706E">
        <w:rPr>
          <w:rStyle w:val="FootnoteReference"/>
          <w:rFonts w:ascii="Arial" w:eastAsia="Times New Roman" w:hAnsi="Arial" w:cs="Arial"/>
          <w:color w:val="333333"/>
          <w:sz w:val="18"/>
          <w:szCs w:val="18"/>
          <w:lang w:val="en-GB"/>
        </w:rPr>
        <w:footnoteReference w:id="2"/>
      </w:r>
      <w:r w:rsidRPr="003C706E">
        <w:rPr>
          <w:rFonts w:ascii="Arial" w:eastAsia="Times New Roman" w:hAnsi="Arial" w:cs="Arial"/>
          <w:color w:val="333333"/>
          <w:sz w:val="18"/>
          <w:szCs w:val="18"/>
          <w:lang w:val="en-GB"/>
        </w:rPr>
        <w:t>. A cost-benefit analysis (CBA) indicating the subsection of benefits considered in the study is presented for 2017</w:t>
      </w:r>
      <w:r w:rsidR="004C745D">
        <w:rPr>
          <w:rFonts w:ascii="Arial" w:eastAsia="Times New Roman" w:hAnsi="Arial" w:cs="Arial"/>
          <w:color w:val="333333"/>
          <w:sz w:val="18"/>
          <w:szCs w:val="18"/>
          <w:lang w:val="en-GB"/>
        </w:rPr>
        <w:t xml:space="preserve"> and represent the period 2017</w:t>
      </w:r>
      <w:r w:rsidRPr="003C706E">
        <w:rPr>
          <w:rFonts w:ascii="Arial" w:eastAsia="Times New Roman" w:hAnsi="Arial" w:cs="Arial"/>
          <w:color w:val="333333"/>
          <w:sz w:val="18"/>
          <w:szCs w:val="18"/>
          <w:lang w:val="en-GB"/>
        </w:rPr>
        <w:t>-2030</w:t>
      </w:r>
      <w:r w:rsidR="004C745D">
        <w:rPr>
          <w:rFonts w:ascii="Arial" w:eastAsia="Times New Roman" w:hAnsi="Arial" w:cs="Arial"/>
          <w:color w:val="333333"/>
          <w:sz w:val="18"/>
          <w:szCs w:val="18"/>
          <w:lang w:val="en-GB"/>
        </w:rPr>
        <w:t>.</w:t>
      </w:r>
      <w:r w:rsidRPr="003C706E">
        <w:rPr>
          <w:rFonts w:ascii="Arial" w:eastAsia="Times New Roman" w:hAnsi="Arial" w:cs="Arial"/>
          <w:color w:val="333333"/>
          <w:sz w:val="18"/>
          <w:szCs w:val="18"/>
          <w:lang w:val="en-GB"/>
        </w:rPr>
        <w:t xml:space="preserve"> It uses the monetary values estimated for the two services as benefits whilst the cost is considered to be the total costs incurred in the implementation of the</w:t>
      </w:r>
      <w:r w:rsidR="00DD046A">
        <w:rPr>
          <w:rFonts w:ascii="Arial" w:eastAsia="Times New Roman" w:hAnsi="Arial" w:cs="Arial"/>
          <w:color w:val="333333"/>
          <w:sz w:val="18"/>
          <w:szCs w:val="18"/>
          <w:lang w:val="en-GB"/>
        </w:rPr>
        <w:t xml:space="preserve"> </w:t>
      </w:r>
      <w:r w:rsidRPr="003C706E">
        <w:rPr>
          <w:rFonts w:ascii="Arial" w:eastAsia="Times New Roman" w:hAnsi="Arial" w:cs="Arial"/>
          <w:color w:val="333333"/>
          <w:sz w:val="18"/>
          <w:szCs w:val="18"/>
          <w:lang w:val="en-GB"/>
        </w:rPr>
        <w:t xml:space="preserve">scenarios. </w:t>
      </w:r>
    </w:p>
    <w:p w14:paraId="4000CC84"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b/>
          <w:bCs/>
          <w:color w:val="333333"/>
          <w:sz w:val="18"/>
          <w:szCs w:val="18"/>
          <w:lang w:val="en-GB"/>
        </w:rPr>
        <w:t xml:space="preserve">Table 1 </w:t>
      </w:r>
      <w:r w:rsidRPr="003C706E">
        <w:rPr>
          <w:rFonts w:ascii="Arial" w:eastAsia="Times New Roman" w:hAnsi="Arial" w:cs="Arial"/>
          <w:color w:val="333333"/>
          <w:sz w:val="18"/>
          <w:szCs w:val="18"/>
          <w:lang w:val="en-GB"/>
        </w:rPr>
        <w:t>details the objectives, assumptions and methodologies used for the development of the scenarios for the year 2030.</w:t>
      </w:r>
    </w:p>
    <w:p w14:paraId="79B2BCE4" w14:textId="77777777" w:rsidR="003C706E" w:rsidRPr="003C706E" w:rsidRDefault="003C706E" w:rsidP="003C706E">
      <w:pPr>
        <w:rPr>
          <w:rFonts w:ascii="Times New Roman" w:eastAsia="Times New Roman" w:hAnsi="Times New Roman" w:cs="Times New Roman"/>
          <w:lang w:val="en-GB"/>
        </w:rPr>
      </w:pPr>
    </w:p>
    <w:p w14:paraId="590567F8"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i/>
          <w:iCs/>
          <w:color w:val="333333"/>
          <w:sz w:val="18"/>
          <w:szCs w:val="18"/>
          <w:lang w:val="en-GB"/>
        </w:rPr>
        <w:t>Table 1. Main characteristics of the scenarios.</w:t>
      </w:r>
    </w:p>
    <w:p w14:paraId="3F7279B9" w14:textId="77777777" w:rsidR="003C706E" w:rsidRPr="003C706E" w:rsidRDefault="003C706E" w:rsidP="003C706E">
      <w:pPr>
        <w:shd w:val="clear" w:color="auto" w:fill="FFFFFF"/>
        <w:spacing w:before="40"/>
        <w:ind w:left="2320"/>
        <w:jc w:val="both"/>
        <w:rPr>
          <w:rFonts w:ascii="Times New Roman" w:eastAsia="Times New Roman" w:hAnsi="Times New Roman" w:cs="Times New Roman"/>
          <w:lang w:val="en-GB"/>
        </w:rPr>
      </w:pPr>
      <w:r w:rsidRPr="003C706E">
        <w:rPr>
          <w:rFonts w:ascii="Times New Roman" w:eastAsia="Times New Roman" w:hAnsi="Times New Roman" w:cs="Times New Roman"/>
          <w:lang w:val="en-GB"/>
        </w:rPr>
        <w:t> </w:t>
      </w:r>
    </w:p>
    <w:tbl>
      <w:tblPr>
        <w:tblW w:w="0" w:type="auto"/>
        <w:tblCellMar>
          <w:top w:w="15" w:type="dxa"/>
          <w:left w:w="15" w:type="dxa"/>
          <w:bottom w:w="15" w:type="dxa"/>
          <w:right w:w="15" w:type="dxa"/>
        </w:tblCellMar>
        <w:tblLook w:val="04A0" w:firstRow="1" w:lastRow="0" w:firstColumn="1" w:lastColumn="0" w:noHBand="0" w:noVBand="1"/>
      </w:tblPr>
      <w:tblGrid>
        <w:gridCol w:w="1695"/>
        <w:gridCol w:w="2975"/>
        <w:gridCol w:w="3145"/>
        <w:gridCol w:w="1797"/>
      </w:tblGrid>
      <w:tr w:rsidR="003C706E" w:rsidRPr="003C706E" w14:paraId="6D37FD4B" w14:textId="77777777" w:rsidTr="003C706E">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485E0" w14:textId="77777777" w:rsidR="003C706E" w:rsidRPr="003C706E" w:rsidRDefault="003C706E" w:rsidP="003C706E">
            <w:pPr>
              <w:shd w:val="clear" w:color="auto" w:fill="FFFFFF"/>
              <w:jc w:val="both"/>
              <w:rPr>
                <w:rFonts w:ascii="Times New Roman" w:eastAsia="Times New Roman" w:hAnsi="Times New Roman" w:cs="Times New Roman"/>
                <w:lang w:val="en-GB"/>
              </w:rPr>
            </w:pPr>
            <w:r w:rsidRPr="003C706E">
              <w:rPr>
                <w:rFonts w:ascii="Arial" w:eastAsia="Times New Roman" w:hAnsi="Arial" w:cs="Arial"/>
                <w:i/>
                <w:iCs/>
                <w:color w:val="333333"/>
                <w:sz w:val="21"/>
                <w:szCs w:val="21"/>
                <w:lang w:val="en-GB"/>
              </w:rPr>
              <w:t xml:space="preserve"> </w:t>
            </w:r>
          </w:p>
          <w:p w14:paraId="1980A9C9" w14:textId="77777777" w:rsidR="003C706E" w:rsidRPr="003C706E" w:rsidRDefault="003C706E" w:rsidP="003C706E">
            <w:pPr>
              <w:shd w:val="clear" w:color="auto" w:fill="FFFFFF"/>
              <w:spacing w:after="160"/>
              <w:ind w:left="460"/>
              <w:jc w:val="both"/>
              <w:rPr>
                <w:rFonts w:ascii="Times New Roman" w:eastAsia="Times New Roman" w:hAnsi="Times New Roman" w:cs="Times New Roman"/>
                <w:lang w:val="en-GB"/>
              </w:rPr>
            </w:pPr>
            <w:r w:rsidRPr="003C706E">
              <w:rPr>
                <w:rFonts w:ascii="Arial" w:eastAsia="Times New Roman" w:hAnsi="Arial" w:cs="Arial"/>
                <w:b/>
                <w:bCs/>
                <w:color w:val="333333"/>
                <w:sz w:val="18"/>
                <w:szCs w:val="18"/>
                <w:lang w:val="en-GB"/>
              </w:rPr>
              <w:t>Scenario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E3B77" w14:textId="77777777" w:rsidR="003C706E" w:rsidRPr="003C706E" w:rsidRDefault="003C706E" w:rsidP="003C706E">
            <w:pPr>
              <w:shd w:val="clear" w:color="auto" w:fill="FFFFFF"/>
              <w:jc w:val="both"/>
              <w:rPr>
                <w:rFonts w:ascii="Times New Roman" w:eastAsia="Times New Roman" w:hAnsi="Times New Roman" w:cs="Times New Roman"/>
                <w:lang w:val="en-GB"/>
              </w:rPr>
            </w:pPr>
            <w:r w:rsidRPr="003C706E">
              <w:rPr>
                <w:rFonts w:ascii="Arial" w:eastAsia="Times New Roman" w:hAnsi="Arial" w:cs="Arial"/>
                <w:i/>
                <w:iCs/>
                <w:color w:val="333333"/>
                <w:sz w:val="21"/>
                <w:szCs w:val="21"/>
                <w:lang w:val="en-GB"/>
              </w:rPr>
              <w:t xml:space="preserve"> </w:t>
            </w:r>
          </w:p>
          <w:p w14:paraId="6F3C2DF4" w14:textId="77777777" w:rsidR="003C706E" w:rsidRPr="003C706E" w:rsidRDefault="003C706E" w:rsidP="003C706E">
            <w:pPr>
              <w:shd w:val="clear" w:color="auto" w:fill="FFFFFF"/>
              <w:ind w:left="680" w:right="660"/>
              <w:jc w:val="both"/>
              <w:rPr>
                <w:rFonts w:ascii="Times New Roman" w:eastAsia="Times New Roman" w:hAnsi="Times New Roman" w:cs="Times New Roman"/>
                <w:lang w:val="en-GB"/>
              </w:rPr>
            </w:pPr>
            <w:r w:rsidRPr="003C706E">
              <w:rPr>
                <w:rFonts w:ascii="Arial" w:eastAsia="Times New Roman" w:hAnsi="Arial" w:cs="Arial"/>
                <w:b/>
                <w:bCs/>
                <w:color w:val="333333"/>
                <w:sz w:val="18"/>
                <w:szCs w:val="18"/>
                <w:lang w:val="en-GB"/>
              </w:rPr>
              <w:t>Goal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BCEDE" w14:textId="77777777" w:rsidR="003C706E" w:rsidRPr="003C706E" w:rsidRDefault="003C706E" w:rsidP="003C706E">
            <w:pPr>
              <w:shd w:val="clear" w:color="auto" w:fill="FFFFFF"/>
              <w:jc w:val="both"/>
              <w:rPr>
                <w:rFonts w:ascii="Times New Roman" w:eastAsia="Times New Roman" w:hAnsi="Times New Roman" w:cs="Times New Roman"/>
                <w:lang w:val="en-GB"/>
              </w:rPr>
            </w:pPr>
            <w:r w:rsidRPr="003C706E">
              <w:rPr>
                <w:rFonts w:ascii="Arial" w:eastAsia="Times New Roman" w:hAnsi="Arial" w:cs="Arial"/>
                <w:i/>
                <w:iCs/>
                <w:color w:val="333333"/>
                <w:sz w:val="21"/>
                <w:szCs w:val="21"/>
                <w:lang w:val="en-GB"/>
              </w:rPr>
              <w:t xml:space="preserve"> </w:t>
            </w:r>
          </w:p>
          <w:p w14:paraId="29FC03C6" w14:textId="77777777" w:rsidR="003C706E" w:rsidRPr="003C706E" w:rsidRDefault="003C706E" w:rsidP="003C706E">
            <w:pPr>
              <w:shd w:val="clear" w:color="auto" w:fill="FFFFFF"/>
              <w:spacing w:after="160"/>
              <w:ind w:left="1020"/>
              <w:jc w:val="both"/>
              <w:rPr>
                <w:rFonts w:ascii="Times New Roman" w:eastAsia="Times New Roman" w:hAnsi="Times New Roman" w:cs="Times New Roman"/>
                <w:lang w:val="en-GB"/>
              </w:rPr>
            </w:pPr>
            <w:r w:rsidRPr="003C706E">
              <w:rPr>
                <w:rFonts w:ascii="Arial" w:eastAsia="Times New Roman" w:hAnsi="Arial" w:cs="Arial"/>
                <w:b/>
                <w:bCs/>
                <w:color w:val="333333"/>
                <w:sz w:val="18"/>
                <w:szCs w:val="18"/>
                <w:lang w:val="en-GB"/>
              </w:rPr>
              <w:t>Assumptions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996C6"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b/>
                <w:bCs/>
                <w:color w:val="000000"/>
                <w:sz w:val="18"/>
                <w:szCs w:val="18"/>
                <w:lang w:val="en-GB"/>
              </w:rPr>
              <w:t>Methodology for land use map</w:t>
            </w:r>
          </w:p>
          <w:p w14:paraId="0A8A0D97"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b/>
                <w:bCs/>
                <w:color w:val="000000"/>
                <w:sz w:val="18"/>
                <w:szCs w:val="18"/>
                <w:lang w:val="en-GB"/>
              </w:rPr>
              <w:t>(2030)</w:t>
            </w:r>
          </w:p>
        </w:tc>
      </w:tr>
      <w:tr w:rsidR="003C706E" w:rsidRPr="003C706E" w14:paraId="56B238CF" w14:textId="77777777" w:rsidTr="003C706E">
        <w:trPr>
          <w:trHeight w:val="2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D233B"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lastRenderedPageBreak/>
              <w:t>Business as Usual (BAU)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D4102"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 xml:space="preserve">To </w:t>
            </w:r>
            <w:proofErr w:type="spellStart"/>
            <w:r w:rsidRPr="003C706E">
              <w:rPr>
                <w:rFonts w:ascii="Arial" w:eastAsia="Times New Roman" w:hAnsi="Arial" w:cs="Arial"/>
                <w:color w:val="000000"/>
                <w:sz w:val="22"/>
                <w:szCs w:val="22"/>
                <w:lang w:val="en-GB"/>
              </w:rPr>
              <w:t>analyze</w:t>
            </w:r>
            <w:proofErr w:type="spellEnd"/>
            <w:r w:rsidRPr="003C706E">
              <w:rPr>
                <w:rFonts w:ascii="Arial" w:eastAsia="Times New Roman" w:hAnsi="Arial" w:cs="Arial"/>
                <w:color w:val="000000"/>
                <w:sz w:val="22"/>
                <w:szCs w:val="22"/>
                <w:lang w:val="en-GB"/>
              </w:rPr>
              <w:t xml:space="preserve"> the impacts of the current policies (PSB) and; </w:t>
            </w:r>
          </w:p>
          <w:p w14:paraId="79F3DADD" w14:textId="77777777" w:rsidR="003C706E" w:rsidRPr="003C706E" w:rsidRDefault="003C706E" w:rsidP="003C706E">
            <w:pPr>
              <w:rPr>
                <w:rFonts w:ascii="Times New Roman" w:eastAsia="Times New Roman" w:hAnsi="Times New Roman" w:cs="Times New Roman"/>
                <w:lang w:val="en-GB"/>
              </w:rPr>
            </w:pPr>
          </w:p>
          <w:p w14:paraId="1B205B21"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To create a baseline for comparison with the other scenarios.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4CACB"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Land use and land-use change trend for the period 2009 – 2014 is maintained;</w:t>
            </w:r>
          </w:p>
          <w:p w14:paraId="26F4A45D" w14:textId="77777777" w:rsidR="003C706E" w:rsidRPr="003C706E" w:rsidRDefault="003C706E" w:rsidP="003C706E">
            <w:pPr>
              <w:rPr>
                <w:rFonts w:ascii="Times New Roman" w:eastAsia="Times New Roman" w:hAnsi="Times New Roman" w:cs="Times New Roman"/>
                <w:lang w:val="en-GB"/>
              </w:rPr>
            </w:pPr>
          </w:p>
          <w:p w14:paraId="12525CBA"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PSB continues operating and conserving an area of 24,897 ha of native forest and páramo;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C1658"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 xml:space="preserve">Mathematical model (quantitative) GIS – </w:t>
            </w:r>
            <w:proofErr w:type="spellStart"/>
            <w:r w:rsidRPr="003C706E">
              <w:rPr>
                <w:rFonts w:ascii="Arial" w:eastAsia="Times New Roman" w:hAnsi="Arial" w:cs="Arial"/>
                <w:color w:val="000000"/>
                <w:sz w:val="22"/>
                <w:szCs w:val="22"/>
                <w:lang w:val="en-GB"/>
              </w:rPr>
              <w:t>TerrSet</w:t>
            </w:r>
            <w:proofErr w:type="spellEnd"/>
          </w:p>
        </w:tc>
      </w:tr>
      <w:tr w:rsidR="003C706E" w:rsidRPr="003C706E" w14:paraId="0192E9AF" w14:textId="77777777" w:rsidTr="003C706E">
        <w:trPr>
          <w:trHeight w:val="2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A4D5F"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Strengthened Socio Bosque (FSB)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6E5C3"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 xml:space="preserve">To </w:t>
            </w:r>
            <w:proofErr w:type="spellStart"/>
            <w:r w:rsidRPr="003C706E">
              <w:rPr>
                <w:rFonts w:ascii="Arial" w:eastAsia="Times New Roman" w:hAnsi="Arial" w:cs="Arial"/>
                <w:color w:val="000000"/>
                <w:sz w:val="22"/>
                <w:szCs w:val="22"/>
                <w:lang w:val="en-GB"/>
              </w:rPr>
              <w:t>analyze</w:t>
            </w:r>
            <w:proofErr w:type="spellEnd"/>
            <w:r w:rsidRPr="003C706E">
              <w:rPr>
                <w:rFonts w:ascii="Arial" w:eastAsia="Times New Roman" w:hAnsi="Arial" w:cs="Arial"/>
                <w:color w:val="000000"/>
                <w:sz w:val="22"/>
                <w:szCs w:val="22"/>
                <w:lang w:val="en-GB"/>
              </w:rPr>
              <w:t xml:space="preserve"> the impacts of the current policies prioritizing areas of hydrological importance</w:t>
            </w:r>
          </w:p>
          <w:p w14:paraId="1C996925"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through the PSB.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37B4B"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Land use and land-use change trend for the period 2009 – 2014 is maintained;</w:t>
            </w:r>
          </w:p>
          <w:p w14:paraId="377DD7B2" w14:textId="77777777" w:rsidR="003C706E" w:rsidRPr="003C706E" w:rsidRDefault="003C706E" w:rsidP="003C706E">
            <w:pPr>
              <w:rPr>
                <w:rFonts w:ascii="Times New Roman" w:eastAsia="Times New Roman" w:hAnsi="Times New Roman" w:cs="Times New Roman"/>
                <w:lang w:val="en-GB"/>
              </w:rPr>
            </w:pPr>
          </w:p>
          <w:p w14:paraId="71C88D45"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PSB incorporates an extra 6.250 ha in areas of hydrological importance for a total of 31.147 ha under PSB incentives.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08674"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Expert criterion (quantitative)</w:t>
            </w:r>
          </w:p>
        </w:tc>
      </w:tr>
      <w:tr w:rsidR="003C706E" w:rsidRPr="003C706E" w14:paraId="635ECE5B" w14:textId="77777777" w:rsidTr="003C706E">
        <w:trPr>
          <w:trHeight w:val="4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B945F"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National Incentives Plan (PNI)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7EA63"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 xml:space="preserve">To </w:t>
            </w:r>
            <w:proofErr w:type="spellStart"/>
            <w:r w:rsidRPr="003C706E">
              <w:rPr>
                <w:rFonts w:ascii="Arial" w:eastAsia="Times New Roman" w:hAnsi="Arial" w:cs="Arial"/>
                <w:color w:val="000000"/>
                <w:sz w:val="22"/>
                <w:szCs w:val="22"/>
                <w:lang w:val="en-GB"/>
              </w:rPr>
              <w:t>analyze</w:t>
            </w:r>
            <w:proofErr w:type="spellEnd"/>
            <w:r w:rsidRPr="003C706E">
              <w:rPr>
                <w:rFonts w:ascii="Arial" w:eastAsia="Times New Roman" w:hAnsi="Arial" w:cs="Arial"/>
                <w:color w:val="000000"/>
                <w:sz w:val="22"/>
                <w:szCs w:val="22"/>
                <w:lang w:val="en-GB"/>
              </w:rPr>
              <w:t xml:space="preserve"> the impacts of the PNI implementation and the types of incentives which composes it, </w:t>
            </w:r>
            <w:r w:rsidRPr="003C706E">
              <w:rPr>
                <w:rFonts w:ascii="Arial" w:eastAsia="Times New Roman" w:hAnsi="Arial" w:cs="Arial"/>
                <w:i/>
                <w:iCs/>
                <w:color w:val="000000"/>
                <w:sz w:val="22"/>
                <w:szCs w:val="22"/>
                <w:lang w:val="en-GB"/>
              </w:rPr>
              <w:t xml:space="preserve">restoration, conservation and sustainable use.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7B04E"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Land use and land-use change trend for the period 2009 – 2014 is maintained;</w:t>
            </w:r>
          </w:p>
          <w:p w14:paraId="31838018" w14:textId="77777777" w:rsidR="003C706E" w:rsidRPr="003C706E" w:rsidRDefault="003C706E" w:rsidP="003C706E">
            <w:pPr>
              <w:rPr>
                <w:rFonts w:ascii="Times New Roman" w:eastAsia="Times New Roman" w:hAnsi="Times New Roman" w:cs="Times New Roman"/>
                <w:lang w:val="en-GB"/>
              </w:rPr>
            </w:pPr>
          </w:p>
          <w:p w14:paraId="1CD5F7CE"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PSB incorporates an extra 8.624 ha in areas of hydrological importance for a total of 33.521 ha under PSB incentives;</w:t>
            </w:r>
          </w:p>
          <w:p w14:paraId="57906091" w14:textId="77777777" w:rsidR="003C706E" w:rsidRPr="003C706E" w:rsidRDefault="003C706E" w:rsidP="003C706E">
            <w:pPr>
              <w:rPr>
                <w:rFonts w:ascii="Times New Roman" w:eastAsia="Times New Roman" w:hAnsi="Times New Roman" w:cs="Times New Roman"/>
                <w:lang w:val="en-GB"/>
              </w:rPr>
            </w:pPr>
          </w:p>
          <w:p w14:paraId="58D5867F"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Forest restoration of 18.700 ha;</w:t>
            </w:r>
          </w:p>
          <w:p w14:paraId="12959E97" w14:textId="77777777" w:rsidR="003C706E" w:rsidRPr="003C706E" w:rsidRDefault="003C706E" w:rsidP="003C706E">
            <w:pPr>
              <w:rPr>
                <w:rFonts w:ascii="Times New Roman" w:eastAsia="Times New Roman" w:hAnsi="Times New Roman" w:cs="Times New Roman"/>
                <w:lang w:val="en-GB"/>
              </w:rPr>
            </w:pPr>
          </w:p>
          <w:p w14:paraId="10F1C247"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Substitution of 27.855 ha of pastures into silvopastoral systems;</w:t>
            </w:r>
          </w:p>
          <w:p w14:paraId="25B6D2D8"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 xml:space="preserve"> </w:t>
            </w:r>
          </w:p>
          <w:p w14:paraId="71C37305"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All incentives under the PNI scenario are considered to occur simultaneously.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07CC0"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Expert criterion (qualitative)</w:t>
            </w:r>
          </w:p>
        </w:tc>
      </w:tr>
      <w:tr w:rsidR="003C706E" w:rsidRPr="003C706E" w14:paraId="599FC26E" w14:textId="77777777" w:rsidTr="003C706E">
        <w:trPr>
          <w:trHeight w:val="3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F5598"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Degradation (DEG)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38E93"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 xml:space="preserve">To </w:t>
            </w:r>
            <w:proofErr w:type="spellStart"/>
            <w:r w:rsidRPr="003C706E">
              <w:rPr>
                <w:rFonts w:ascii="Arial" w:eastAsia="Times New Roman" w:hAnsi="Arial" w:cs="Arial"/>
                <w:color w:val="000000"/>
                <w:sz w:val="22"/>
                <w:szCs w:val="22"/>
                <w:lang w:val="en-GB"/>
              </w:rPr>
              <w:t>analyze</w:t>
            </w:r>
            <w:proofErr w:type="spellEnd"/>
            <w:r w:rsidRPr="003C706E">
              <w:rPr>
                <w:rFonts w:ascii="Arial" w:eastAsia="Times New Roman" w:hAnsi="Arial" w:cs="Arial"/>
                <w:color w:val="000000"/>
                <w:sz w:val="22"/>
                <w:szCs w:val="22"/>
                <w:lang w:val="en-GB"/>
              </w:rPr>
              <w:t xml:space="preserve"> the impacts of not having any type of policy for the conservation of native vegetation, restoration or sustainable production;</w:t>
            </w:r>
          </w:p>
          <w:p w14:paraId="27215587" w14:textId="77777777" w:rsidR="003C706E" w:rsidRPr="003C706E" w:rsidRDefault="003C706E" w:rsidP="003C706E">
            <w:pPr>
              <w:rPr>
                <w:rFonts w:ascii="Times New Roman" w:eastAsia="Times New Roman" w:hAnsi="Times New Roman" w:cs="Times New Roman"/>
                <w:lang w:val="en-GB"/>
              </w:rPr>
            </w:pPr>
          </w:p>
          <w:p w14:paraId="199FCFC2" w14:textId="42887228" w:rsidR="003C706E" w:rsidRPr="003C706E" w:rsidRDefault="003C706E" w:rsidP="00ED5210">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 xml:space="preserve">Give an indication of benefits generated </w:t>
            </w:r>
            <w:proofErr w:type="gramStart"/>
            <w:r w:rsidRPr="003C706E">
              <w:rPr>
                <w:rFonts w:ascii="Arial" w:eastAsia="Times New Roman" w:hAnsi="Arial" w:cs="Arial"/>
                <w:color w:val="000000"/>
                <w:sz w:val="22"/>
                <w:szCs w:val="22"/>
                <w:lang w:val="en-GB"/>
              </w:rPr>
              <w:t>by  the</w:t>
            </w:r>
            <w:proofErr w:type="gramEnd"/>
            <w:r w:rsidRPr="003C706E">
              <w:rPr>
                <w:rFonts w:ascii="Arial" w:eastAsia="Times New Roman" w:hAnsi="Arial" w:cs="Arial"/>
                <w:color w:val="000000"/>
                <w:sz w:val="22"/>
                <w:szCs w:val="22"/>
                <w:lang w:val="en-GB"/>
              </w:rPr>
              <w:t xml:space="preserve"> current incentives implemented under the PSB.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20491"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There are no public policies for the conservation of forests and páramos, restoration or sustainable production;</w:t>
            </w:r>
          </w:p>
          <w:p w14:paraId="39A60645" w14:textId="77777777" w:rsidR="003C706E" w:rsidRPr="003C706E" w:rsidRDefault="003C706E" w:rsidP="003C706E">
            <w:pPr>
              <w:rPr>
                <w:rFonts w:ascii="Times New Roman" w:eastAsia="Times New Roman" w:hAnsi="Times New Roman" w:cs="Times New Roman"/>
                <w:lang w:val="en-GB"/>
              </w:rPr>
            </w:pPr>
          </w:p>
          <w:p w14:paraId="314B4582"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Deforestation increases;</w:t>
            </w:r>
          </w:p>
          <w:p w14:paraId="2FB647CC" w14:textId="77777777" w:rsidR="003C706E" w:rsidRPr="003C706E" w:rsidRDefault="003C706E" w:rsidP="003C706E">
            <w:pPr>
              <w:rPr>
                <w:rFonts w:ascii="Times New Roman" w:eastAsia="Times New Roman" w:hAnsi="Times New Roman" w:cs="Times New Roman"/>
                <w:lang w:val="en-GB"/>
              </w:rPr>
            </w:pPr>
          </w:p>
          <w:p w14:paraId="7EED2017"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PSB disappears;</w:t>
            </w:r>
          </w:p>
          <w:p w14:paraId="69F52164" w14:textId="77777777" w:rsidR="003C706E" w:rsidRPr="003C706E" w:rsidRDefault="003C706E" w:rsidP="003C706E">
            <w:pPr>
              <w:rPr>
                <w:rFonts w:ascii="Times New Roman" w:eastAsia="Times New Roman" w:hAnsi="Times New Roman" w:cs="Times New Roman"/>
                <w:lang w:val="en-GB"/>
              </w:rPr>
            </w:pPr>
          </w:p>
          <w:p w14:paraId="7C0EF016"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No PNI implemented.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D785F" w14:textId="77777777" w:rsidR="003C706E" w:rsidRPr="003C706E" w:rsidRDefault="003C706E" w:rsidP="003C706E">
            <w:pPr>
              <w:rPr>
                <w:rFonts w:ascii="Times New Roman" w:eastAsia="Times New Roman" w:hAnsi="Times New Roman" w:cs="Times New Roman"/>
                <w:lang w:val="en-GB"/>
              </w:rPr>
            </w:pPr>
            <w:r w:rsidRPr="003C706E">
              <w:rPr>
                <w:rFonts w:ascii="Arial" w:eastAsia="Times New Roman" w:hAnsi="Arial" w:cs="Arial"/>
                <w:color w:val="000000"/>
                <w:sz w:val="22"/>
                <w:szCs w:val="22"/>
                <w:lang w:val="en-GB"/>
              </w:rPr>
              <w:t xml:space="preserve">Mathematical model (quantitative) </w:t>
            </w:r>
            <w:proofErr w:type="spellStart"/>
            <w:r w:rsidRPr="003C706E">
              <w:rPr>
                <w:rFonts w:ascii="Arial" w:eastAsia="Times New Roman" w:hAnsi="Arial" w:cs="Arial"/>
                <w:color w:val="000000"/>
                <w:sz w:val="22"/>
                <w:szCs w:val="22"/>
                <w:lang w:val="en-GB"/>
              </w:rPr>
              <w:t>InVEST</w:t>
            </w:r>
            <w:proofErr w:type="spellEnd"/>
          </w:p>
        </w:tc>
      </w:tr>
    </w:tbl>
    <w:p w14:paraId="60F2E1B5" w14:textId="77777777" w:rsidR="00316C52" w:rsidRPr="003C706E" w:rsidRDefault="006E086E">
      <w:pPr>
        <w:rPr>
          <w:lang w:val="en-GB"/>
        </w:rPr>
      </w:pPr>
    </w:p>
    <w:p w14:paraId="60C9BE3C" w14:textId="77777777" w:rsidR="003C706E" w:rsidRPr="003C706E" w:rsidRDefault="003C706E" w:rsidP="003C706E">
      <w:pPr>
        <w:shd w:val="clear" w:color="auto" w:fill="FFFFFF"/>
        <w:spacing w:before="160" w:after="160"/>
        <w:jc w:val="both"/>
        <w:outlineLvl w:val="3"/>
        <w:rPr>
          <w:rFonts w:ascii="Arial" w:eastAsia="Times New Roman" w:hAnsi="Arial" w:cs="Arial"/>
          <w:b/>
          <w:bCs/>
          <w:color w:val="2F5496" w:themeColor="accent1" w:themeShade="BF"/>
          <w:lang w:val="en-GB"/>
        </w:rPr>
      </w:pPr>
      <w:r w:rsidRPr="003C706E">
        <w:rPr>
          <w:rFonts w:ascii="Arial" w:eastAsia="Times New Roman" w:hAnsi="Arial" w:cs="Arial"/>
          <w:b/>
          <w:bCs/>
          <w:color w:val="2F5496" w:themeColor="accent1" w:themeShade="BF"/>
          <w:lang w:val="en-GB"/>
        </w:rPr>
        <w:t>Results</w:t>
      </w:r>
    </w:p>
    <w:p w14:paraId="3693E9B3" w14:textId="77777777" w:rsidR="003C706E" w:rsidRPr="003C706E" w:rsidRDefault="003C706E" w:rsidP="003C706E">
      <w:pPr>
        <w:shd w:val="clear" w:color="auto" w:fill="FFFFFF"/>
        <w:spacing w:before="120"/>
        <w:jc w:val="both"/>
        <w:rPr>
          <w:rFonts w:ascii="Times New Roman" w:eastAsia="Times New Roman" w:hAnsi="Times New Roman" w:cs="Times New Roman"/>
          <w:sz w:val="18"/>
          <w:szCs w:val="18"/>
          <w:lang w:val="en-GB"/>
        </w:rPr>
      </w:pPr>
      <w:r w:rsidRPr="003C706E">
        <w:rPr>
          <w:rFonts w:ascii="Arial" w:eastAsia="Times New Roman" w:hAnsi="Arial" w:cs="Arial"/>
          <w:b/>
          <w:bCs/>
          <w:color w:val="000000"/>
          <w:sz w:val="18"/>
          <w:szCs w:val="18"/>
          <w:lang w:val="en-GB"/>
        </w:rPr>
        <w:t xml:space="preserve">LUC and CBA </w:t>
      </w:r>
    </w:p>
    <w:p w14:paraId="63795310" w14:textId="29F95C9E"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The results are presented first in terms of land use changes (LUC) for each scenario</w:t>
      </w:r>
      <w:r w:rsidR="00DD046A">
        <w:rPr>
          <w:rFonts w:ascii="Arial" w:eastAsia="Times New Roman" w:hAnsi="Arial" w:cs="Arial"/>
          <w:color w:val="333333"/>
          <w:sz w:val="18"/>
          <w:szCs w:val="18"/>
          <w:lang w:val="en-GB"/>
        </w:rPr>
        <w:t>, with</w:t>
      </w:r>
      <w:r w:rsidR="00DD046A" w:rsidRPr="003C706E">
        <w:rPr>
          <w:rFonts w:ascii="Arial" w:eastAsia="Times New Roman" w:hAnsi="Arial" w:cs="Arial"/>
          <w:color w:val="333333"/>
          <w:sz w:val="18"/>
          <w:szCs w:val="18"/>
          <w:lang w:val="en-GB"/>
        </w:rPr>
        <w:t xml:space="preserve"> </w:t>
      </w:r>
      <w:r w:rsidRPr="003C706E">
        <w:rPr>
          <w:rFonts w:ascii="Arial" w:eastAsia="Times New Roman" w:hAnsi="Arial" w:cs="Arial"/>
          <w:color w:val="333333"/>
          <w:sz w:val="18"/>
          <w:szCs w:val="18"/>
          <w:lang w:val="en-GB"/>
        </w:rPr>
        <w:t>201</w:t>
      </w:r>
      <w:r w:rsidR="00DD046A">
        <w:rPr>
          <w:rFonts w:ascii="Arial" w:eastAsia="Times New Roman" w:hAnsi="Arial" w:cs="Arial"/>
          <w:color w:val="333333"/>
          <w:sz w:val="18"/>
          <w:szCs w:val="18"/>
          <w:lang w:val="en-GB"/>
        </w:rPr>
        <w:t>6 as the base year and projected to</w:t>
      </w:r>
      <w:r w:rsidRPr="003C706E">
        <w:rPr>
          <w:rFonts w:ascii="Arial" w:eastAsia="Times New Roman" w:hAnsi="Arial" w:cs="Arial"/>
          <w:color w:val="333333"/>
          <w:sz w:val="18"/>
          <w:szCs w:val="18"/>
          <w:lang w:val="en-GB"/>
        </w:rPr>
        <w:t xml:space="preserve"> 2030. Using this results the </w:t>
      </w:r>
      <w:r w:rsidRPr="003C706E">
        <w:rPr>
          <w:rFonts w:ascii="Arial" w:eastAsia="Times New Roman" w:hAnsi="Arial" w:cs="Arial"/>
          <w:b/>
          <w:bCs/>
          <w:color w:val="333333"/>
          <w:sz w:val="18"/>
          <w:szCs w:val="18"/>
          <w:lang w:val="en-GB"/>
        </w:rPr>
        <w:t>BAU</w:t>
      </w:r>
      <w:r w:rsidRPr="003C706E">
        <w:rPr>
          <w:rFonts w:ascii="Arial" w:eastAsia="Times New Roman" w:hAnsi="Arial" w:cs="Arial"/>
          <w:color w:val="333333"/>
          <w:sz w:val="18"/>
          <w:szCs w:val="18"/>
          <w:lang w:val="en-GB"/>
        </w:rPr>
        <w:t xml:space="preserve"> scenario is set as baseline for the CBA. All money values are net present values with a discount rate of 6% and account for the entire period of policy application 2017-2030. </w:t>
      </w:r>
    </w:p>
    <w:p w14:paraId="40748140" w14:textId="7EB1DAD7" w:rsidR="003C706E" w:rsidRPr="003C706E" w:rsidRDefault="005D3830" w:rsidP="003C706E">
      <w:pPr>
        <w:shd w:val="clear" w:color="auto" w:fill="FFFFFF"/>
        <w:spacing w:after="160"/>
        <w:jc w:val="both"/>
        <w:rPr>
          <w:rFonts w:ascii="Times New Roman" w:eastAsia="Times New Roman" w:hAnsi="Times New Roman" w:cs="Times New Roman"/>
          <w:lang w:val="en-GB"/>
        </w:rPr>
      </w:pPr>
      <w:r>
        <w:rPr>
          <w:rFonts w:ascii="Arial" w:eastAsia="Times New Roman" w:hAnsi="Arial" w:cs="Arial"/>
          <w:color w:val="333333"/>
          <w:sz w:val="18"/>
          <w:szCs w:val="18"/>
          <w:lang w:val="en-GB"/>
        </w:rPr>
        <w:t>Graphic</w:t>
      </w:r>
      <w:r w:rsidRPr="003C706E">
        <w:rPr>
          <w:rFonts w:ascii="Arial" w:eastAsia="Times New Roman" w:hAnsi="Arial" w:cs="Arial"/>
          <w:color w:val="333333"/>
          <w:sz w:val="18"/>
          <w:szCs w:val="18"/>
          <w:lang w:val="en-GB"/>
        </w:rPr>
        <w:t xml:space="preserve"> </w:t>
      </w:r>
      <w:r w:rsidR="004C745D">
        <w:rPr>
          <w:rFonts w:ascii="Arial" w:eastAsia="Times New Roman" w:hAnsi="Arial" w:cs="Arial"/>
          <w:color w:val="333333"/>
          <w:sz w:val="18"/>
          <w:szCs w:val="18"/>
          <w:lang w:val="en-GB"/>
        </w:rPr>
        <w:t>01</w:t>
      </w:r>
      <w:r w:rsidR="004C745D" w:rsidRPr="003C706E">
        <w:rPr>
          <w:rFonts w:ascii="Arial" w:eastAsia="Times New Roman" w:hAnsi="Arial" w:cs="Arial"/>
          <w:color w:val="333333"/>
          <w:sz w:val="18"/>
          <w:szCs w:val="18"/>
          <w:lang w:val="en-GB"/>
        </w:rPr>
        <w:t xml:space="preserve"> </w:t>
      </w:r>
      <w:r w:rsidR="003C706E" w:rsidRPr="003C706E">
        <w:rPr>
          <w:rFonts w:ascii="Arial" w:eastAsia="Times New Roman" w:hAnsi="Arial" w:cs="Arial"/>
          <w:color w:val="333333"/>
          <w:sz w:val="18"/>
          <w:szCs w:val="18"/>
          <w:lang w:val="en-GB"/>
        </w:rPr>
        <w:t xml:space="preserve">below </w:t>
      </w:r>
      <w:r w:rsidR="0032785C">
        <w:rPr>
          <w:rFonts w:ascii="Arial" w:eastAsia="Times New Roman" w:hAnsi="Arial" w:cs="Arial"/>
          <w:color w:val="333333"/>
          <w:sz w:val="18"/>
          <w:szCs w:val="18"/>
          <w:lang w:val="en-GB"/>
        </w:rPr>
        <w:t>uses</w:t>
      </w:r>
      <w:r w:rsidR="0032785C" w:rsidRPr="003C706E">
        <w:rPr>
          <w:rFonts w:ascii="Arial" w:eastAsia="Times New Roman" w:hAnsi="Arial" w:cs="Arial"/>
          <w:color w:val="333333"/>
          <w:sz w:val="18"/>
          <w:szCs w:val="18"/>
          <w:lang w:val="en-GB"/>
        </w:rPr>
        <w:t xml:space="preserve"> </w:t>
      </w:r>
      <w:r w:rsidR="003C706E" w:rsidRPr="003C706E">
        <w:rPr>
          <w:rFonts w:ascii="Arial" w:eastAsia="Times New Roman" w:hAnsi="Arial" w:cs="Arial"/>
          <w:color w:val="333333"/>
          <w:sz w:val="18"/>
          <w:szCs w:val="18"/>
          <w:lang w:val="en-GB"/>
        </w:rPr>
        <w:t xml:space="preserve">the LUC results obtained for the BAU scenario </w:t>
      </w:r>
      <w:r w:rsidR="0032785C">
        <w:rPr>
          <w:rFonts w:ascii="Arial" w:eastAsia="Times New Roman" w:hAnsi="Arial" w:cs="Arial"/>
          <w:color w:val="333333"/>
          <w:sz w:val="18"/>
          <w:szCs w:val="18"/>
          <w:lang w:val="en-GB"/>
        </w:rPr>
        <w:t>as a baseline to calculate</w:t>
      </w:r>
      <w:r w:rsidR="0032785C" w:rsidRPr="003C706E">
        <w:rPr>
          <w:rFonts w:ascii="Arial" w:eastAsia="Times New Roman" w:hAnsi="Arial" w:cs="Arial"/>
          <w:color w:val="333333"/>
          <w:sz w:val="18"/>
          <w:szCs w:val="18"/>
          <w:lang w:val="en-GB"/>
        </w:rPr>
        <w:t xml:space="preserve"> </w:t>
      </w:r>
      <w:r w:rsidR="003C706E" w:rsidRPr="003C706E">
        <w:rPr>
          <w:rFonts w:ascii="Arial" w:eastAsia="Times New Roman" w:hAnsi="Arial" w:cs="Arial"/>
          <w:color w:val="333333"/>
          <w:sz w:val="18"/>
          <w:szCs w:val="18"/>
          <w:lang w:val="en-GB"/>
        </w:rPr>
        <w:t xml:space="preserve">the </w:t>
      </w:r>
      <w:r w:rsidR="0032785C">
        <w:rPr>
          <w:rFonts w:ascii="Arial" w:eastAsia="Times New Roman" w:hAnsi="Arial" w:cs="Arial"/>
          <w:color w:val="333333"/>
          <w:sz w:val="18"/>
          <w:szCs w:val="18"/>
          <w:lang w:val="en-GB"/>
        </w:rPr>
        <w:t>impacts of all other scenarios on</w:t>
      </w:r>
      <w:r w:rsidR="003C706E" w:rsidRPr="003C706E">
        <w:rPr>
          <w:rFonts w:ascii="Arial" w:eastAsia="Times New Roman" w:hAnsi="Arial" w:cs="Arial"/>
          <w:color w:val="333333"/>
          <w:sz w:val="18"/>
          <w:szCs w:val="18"/>
          <w:lang w:val="en-GB"/>
        </w:rPr>
        <w:t xml:space="preserve"> </w:t>
      </w:r>
      <w:r w:rsidR="00DD046A">
        <w:rPr>
          <w:rFonts w:ascii="Arial" w:eastAsia="Times New Roman" w:hAnsi="Arial" w:cs="Arial"/>
          <w:color w:val="333333"/>
          <w:sz w:val="18"/>
          <w:szCs w:val="18"/>
          <w:lang w:val="en-GB"/>
        </w:rPr>
        <w:t xml:space="preserve">the existing natural </w:t>
      </w:r>
      <w:r w:rsidR="0032785C">
        <w:rPr>
          <w:rFonts w:ascii="Arial" w:eastAsia="Times New Roman" w:hAnsi="Arial" w:cs="Arial"/>
          <w:color w:val="333333"/>
          <w:sz w:val="18"/>
          <w:szCs w:val="18"/>
          <w:lang w:val="en-GB"/>
        </w:rPr>
        <w:t xml:space="preserve">vegetation. </w:t>
      </w:r>
    </w:p>
    <w:p w14:paraId="508F586E" w14:textId="77777777" w:rsidR="003C706E" w:rsidRPr="003C706E" w:rsidRDefault="003C706E" w:rsidP="003C706E">
      <w:pPr>
        <w:rPr>
          <w:rFonts w:ascii="Times New Roman" w:eastAsia="Times New Roman" w:hAnsi="Times New Roman" w:cs="Times New Roman"/>
          <w:lang w:val="en-GB"/>
        </w:rPr>
      </w:pPr>
    </w:p>
    <w:p w14:paraId="2640482F" w14:textId="08255748" w:rsidR="003C706E" w:rsidRDefault="003C706E">
      <w:pPr>
        <w:rPr>
          <w:lang w:val="en-GB"/>
        </w:rPr>
      </w:pPr>
    </w:p>
    <w:p w14:paraId="3B2FF7AF" w14:textId="37E31F57" w:rsidR="00BF064C" w:rsidRPr="00ED5210" w:rsidRDefault="0032785C" w:rsidP="00ED5210">
      <w:pPr>
        <w:jc w:val="center"/>
        <w:rPr>
          <w:sz w:val="20"/>
          <w:szCs w:val="20"/>
          <w:lang w:val="en-GB"/>
        </w:rPr>
      </w:pPr>
      <w:r w:rsidRPr="00ED5210">
        <w:rPr>
          <w:noProof/>
          <w:sz w:val="20"/>
          <w:szCs w:val="20"/>
          <w:lang w:val="en-GB" w:eastAsia="en-GB"/>
        </w:rPr>
        <w:drawing>
          <wp:inline distT="0" distB="0" distL="0" distR="0" wp14:anchorId="1F361331" wp14:editId="33DD16F6">
            <wp:extent cx="3720708" cy="2417431"/>
            <wp:effectExtent l="0" t="0" r="13335"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0DB9243" w14:textId="0EB65F28" w:rsidR="00ED5210" w:rsidRPr="003C706E" w:rsidRDefault="00ED5210" w:rsidP="00ED5210">
      <w:pPr>
        <w:shd w:val="clear" w:color="auto" w:fill="FFFFFF"/>
        <w:spacing w:after="160"/>
        <w:jc w:val="center"/>
        <w:rPr>
          <w:rFonts w:ascii="Arial" w:eastAsia="Times New Roman" w:hAnsi="Arial" w:cs="Arial"/>
          <w:color w:val="333333"/>
          <w:sz w:val="18"/>
          <w:szCs w:val="18"/>
          <w:lang w:val="en-GB"/>
        </w:rPr>
      </w:pPr>
      <w:r>
        <w:rPr>
          <w:rFonts w:ascii="Arial" w:eastAsia="Times New Roman" w:hAnsi="Arial" w:cs="Arial"/>
          <w:color w:val="333333"/>
          <w:sz w:val="18"/>
          <w:szCs w:val="18"/>
          <w:lang w:val="en-GB"/>
        </w:rPr>
        <w:t>Graph 01 LUC for all scenarios in relation to BAU scenario by 2030</w:t>
      </w:r>
    </w:p>
    <w:p w14:paraId="39A90CBD" w14:textId="77777777" w:rsidR="005D3830" w:rsidRPr="003C706E" w:rsidRDefault="005D3830">
      <w:pPr>
        <w:rPr>
          <w:lang w:val="en-GB"/>
        </w:rPr>
      </w:pPr>
    </w:p>
    <w:p w14:paraId="1613F609" w14:textId="77777777"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Arial" w:eastAsia="Times New Roman" w:hAnsi="Arial" w:cs="Arial"/>
          <w:b/>
          <w:bCs/>
          <w:color w:val="333333"/>
          <w:sz w:val="18"/>
          <w:szCs w:val="18"/>
          <w:lang w:val="en-GB"/>
        </w:rPr>
        <w:t>DEG</w:t>
      </w:r>
    </w:p>
    <w:p w14:paraId="132128FE" w14:textId="00C26A42" w:rsidR="003C706E" w:rsidRPr="003C706E" w:rsidRDefault="003C706E" w:rsidP="00ED5210">
      <w:pPr>
        <w:shd w:val="clear" w:color="auto" w:fill="FFFFFF"/>
        <w:spacing w:after="160"/>
        <w:jc w:val="both"/>
        <w:rPr>
          <w:lang w:val="en-GB"/>
        </w:rPr>
      </w:pPr>
      <w:r w:rsidRPr="003C706E">
        <w:rPr>
          <w:rFonts w:ascii="Arial" w:eastAsia="Times New Roman" w:hAnsi="Arial" w:cs="Arial"/>
          <w:color w:val="333333"/>
          <w:sz w:val="18"/>
          <w:szCs w:val="18"/>
          <w:lang w:val="en-GB"/>
        </w:rPr>
        <w:t xml:space="preserve">This scenario projects the closure of all incentives for conservation, meaning that the PSB incentives covering 24,897 ha in the BAU scenario cease to exist. Under these circumstances by 2030 it is projected a decrease of Forest and </w:t>
      </w:r>
      <w:proofErr w:type="spellStart"/>
      <w:r w:rsidRPr="003C706E">
        <w:rPr>
          <w:rFonts w:ascii="Arial" w:eastAsia="Times New Roman" w:hAnsi="Arial" w:cs="Arial"/>
          <w:color w:val="333333"/>
          <w:sz w:val="18"/>
          <w:szCs w:val="18"/>
          <w:lang w:val="en-GB"/>
        </w:rPr>
        <w:t>Paramo</w:t>
      </w:r>
      <w:proofErr w:type="spellEnd"/>
      <w:r w:rsidRPr="003C706E">
        <w:rPr>
          <w:rFonts w:ascii="Arial" w:eastAsia="Times New Roman" w:hAnsi="Arial" w:cs="Arial"/>
          <w:color w:val="333333"/>
          <w:sz w:val="18"/>
          <w:szCs w:val="18"/>
          <w:lang w:val="en-GB"/>
        </w:rPr>
        <w:t xml:space="preserve"> and an increase of pastures. </w:t>
      </w:r>
    </w:p>
    <w:p w14:paraId="7A2E5782" w14:textId="77777777"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Arial" w:eastAsia="Times New Roman" w:hAnsi="Arial" w:cs="Arial"/>
          <w:b/>
          <w:bCs/>
          <w:color w:val="333333"/>
          <w:sz w:val="18"/>
          <w:szCs w:val="18"/>
          <w:lang w:val="en-GB"/>
        </w:rPr>
        <w:t>CBA for DEG</w:t>
      </w:r>
    </w:p>
    <w:p w14:paraId="5EE0221E" w14:textId="16BA9CEA"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The estimated cost avoided for not implementing any policy is of 7 million USD for the entire period analysed. In the same period the CHCCS revenues with hydroelectricity is reduced in 6,2 million USD and costs of sediment dredging is </w:t>
      </w:r>
      <w:r w:rsidR="00FE2101">
        <w:rPr>
          <w:rFonts w:ascii="Arial" w:eastAsia="Times New Roman" w:hAnsi="Arial" w:cs="Arial"/>
          <w:color w:val="333333"/>
          <w:sz w:val="18"/>
          <w:szCs w:val="18"/>
          <w:lang w:val="en-GB"/>
        </w:rPr>
        <w:t>increased by 117,000 USD</w:t>
      </w:r>
      <w:r w:rsidRPr="003C706E">
        <w:rPr>
          <w:rFonts w:ascii="Arial" w:eastAsia="Times New Roman" w:hAnsi="Arial" w:cs="Arial"/>
          <w:color w:val="333333"/>
          <w:sz w:val="18"/>
          <w:szCs w:val="18"/>
          <w:lang w:val="en-GB"/>
        </w:rPr>
        <w:t xml:space="preserve">. The net present value (NPV) for this scenario by 2030 if USD 644,018. </w:t>
      </w:r>
    </w:p>
    <w:p w14:paraId="5789B788" w14:textId="1FBC1451"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The depletion of the ecosystem means that the intensity of ES provided to CHCCS are reduced and, under the same circumstances, should remain as such into the future if no intervention occurs. </w:t>
      </w:r>
      <w:r w:rsidR="00FD289D">
        <w:rPr>
          <w:rFonts w:ascii="Arial" w:eastAsia="Times New Roman" w:hAnsi="Arial" w:cs="Arial"/>
          <w:color w:val="333333"/>
          <w:sz w:val="18"/>
          <w:szCs w:val="18"/>
          <w:lang w:val="en-GB"/>
        </w:rPr>
        <w:t xml:space="preserve">For the DEG scenario the models projected a loss </w:t>
      </w:r>
      <w:r w:rsidR="007049C7">
        <w:rPr>
          <w:rFonts w:ascii="Arial" w:eastAsia="Times New Roman" w:hAnsi="Arial" w:cs="Arial"/>
          <w:color w:val="333333"/>
          <w:sz w:val="18"/>
          <w:szCs w:val="18"/>
          <w:lang w:val="en-GB"/>
        </w:rPr>
        <w:t>of</w:t>
      </w:r>
      <w:r w:rsidR="00FD289D">
        <w:rPr>
          <w:rFonts w:ascii="Arial" w:eastAsia="Times New Roman" w:hAnsi="Arial" w:cs="Arial"/>
          <w:color w:val="333333"/>
          <w:sz w:val="18"/>
          <w:szCs w:val="18"/>
          <w:lang w:val="en-GB"/>
        </w:rPr>
        <w:t xml:space="preserve"> 41,349 ha </w:t>
      </w:r>
      <w:r w:rsidR="007049C7">
        <w:rPr>
          <w:rFonts w:ascii="Arial" w:eastAsia="Times New Roman" w:hAnsi="Arial" w:cs="Arial"/>
          <w:color w:val="333333"/>
          <w:sz w:val="18"/>
          <w:szCs w:val="18"/>
          <w:lang w:val="en-GB"/>
        </w:rPr>
        <w:t>in natural vegetation in areas that are upstream the hydropower plant.</w:t>
      </w:r>
      <w:r w:rsidR="00FD289D">
        <w:rPr>
          <w:rFonts w:ascii="Arial" w:eastAsia="Times New Roman" w:hAnsi="Arial" w:cs="Arial"/>
          <w:color w:val="333333"/>
          <w:sz w:val="18"/>
          <w:szCs w:val="18"/>
          <w:lang w:val="en-GB"/>
        </w:rPr>
        <w:t xml:space="preserve"> </w:t>
      </w:r>
      <w:r w:rsidR="007049C7">
        <w:rPr>
          <w:rFonts w:ascii="Arial" w:eastAsia="Times New Roman" w:hAnsi="Arial" w:cs="Arial"/>
          <w:color w:val="333333"/>
          <w:sz w:val="18"/>
          <w:szCs w:val="18"/>
          <w:lang w:val="en-GB"/>
        </w:rPr>
        <w:t>A</w:t>
      </w:r>
      <w:r w:rsidR="00FD289D">
        <w:rPr>
          <w:rFonts w:ascii="Arial" w:eastAsia="Times New Roman" w:hAnsi="Arial" w:cs="Arial"/>
          <w:color w:val="333333"/>
          <w:sz w:val="18"/>
          <w:szCs w:val="18"/>
          <w:lang w:val="en-GB"/>
        </w:rPr>
        <w:t xml:space="preserve"> </w:t>
      </w:r>
      <w:r w:rsidR="007049C7">
        <w:rPr>
          <w:rFonts w:ascii="Arial" w:eastAsia="Times New Roman" w:hAnsi="Arial" w:cs="Arial"/>
          <w:color w:val="333333"/>
          <w:sz w:val="18"/>
          <w:szCs w:val="18"/>
          <w:lang w:val="en-GB"/>
        </w:rPr>
        <w:t>negative effect in terms of ES flows would be coherent with such loss in the natural vegetation. Although the net present value NPV is positive by 2030, the graphic 02 bellow shows that</w:t>
      </w:r>
      <w:r w:rsidR="0010240B">
        <w:rPr>
          <w:rFonts w:ascii="Arial" w:eastAsia="Times New Roman" w:hAnsi="Arial" w:cs="Arial"/>
          <w:color w:val="333333"/>
          <w:sz w:val="18"/>
          <w:szCs w:val="18"/>
          <w:lang w:val="en-GB"/>
        </w:rPr>
        <w:t xml:space="preserve"> beyond 2023 the annual net benefits of the scenario becomes negative and suggests that the positive NPV observed may not be sustained for a longer analysis. </w:t>
      </w:r>
    </w:p>
    <w:p w14:paraId="5952C60E" w14:textId="69C73CFD" w:rsidR="003C706E" w:rsidRPr="003C706E" w:rsidRDefault="0010240B" w:rsidP="003C706E">
      <w:pPr>
        <w:shd w:val="clear" w:color="auto" w:fill="FFFFFF"/>
        <w:spacing w:after="160"/>
        <w:jc w:val="both"/>
        <w:rPr>
          <w:rFonts w:ascii="Arial" w:eastAsia="Times New Roman" w:hAnsi="Arial" w:cs="Arial"/>
          <w:color w:val="333333"/>
          <w:sz w:val="18"/>
          <w:szCs w:val="18"/>
          <w:lang w:val="en-GB"/>
        </w:rPr>
      </w:pPr>
      <w:r>
        <w:rPr>
          <w:rFonts w:ascii="Arial" w:eastAsia="Times New Roman" w:hAnsi="Arial" w:cs="Arial"/>
          <w:color w:val="333333"/>
          <w:sz w:val="18"/>
          <w:szCs w:val="18"/>
          <w:lang w:val="en-GB"/>
        </w:rPr>
        <w:t xml:space="preserve">Graph 02 </w:t>
      </w:r>
      <w:r w:rsidR="003C706E" w:rsidRPr="003C706E">
        <w:rPr>
          <w:rFonts w:ascii="Arial" w:eastAsia="Times New Roman" w:hAnsi="Arial" w:cs="Arial"/>
          <w:color w:val="333333"/>
          <w:sz w:val="18"/>
          <w:szCs w:val="18"/>
          <w:lang w:val="en-GB"/>
        </w:rPr>
        <w:t xml:space="preserve">DEG - </w:t>
      </w:r>
      <w:r>
        <w:rPr>
          <w:rFonts w:ascii="Arial" w:eastAsia="Times New Roman" w:hAnsi="Arial" w:cs="Arial"/>
          <w:color w:val="333333"/>
          <w:sz w:val="18"/>
          <w:szCs w:val="18"/>
          <w:lang w:val="en-GB"/>
        </w:rPr>
        <w:t>Annual</w:t>
      </w:r>
      <w:r w:rsidRPr="003C706E">
        <w:rPr>
          <w:rFonts w:ascii="Arial" w:eastAsia="Times New Roman" w:hAnsi="Arial" w:cs="Arial"/>
          <w:color w:val="333333"/>
          <w:sz w:val="18"/>
          <w:szCs w:val="18"/>
          <w:lang w:val="en-GB"/>
        </w:rPr>
        <w:t xml:space="preserve"> </w:t>
      </w:r>
      <w:r w:rsidR="003C706E" w:rsidRPr="003C706E">
        <w:rPr>
          <w:rFonts w:ascii="Arial" w:eastAsia="Times New Roman" w:hAnsi="Arial" w:cs="Arial"/>
          <w:color w:val="333333"/>
          <w:sz w:val="18"/>
          <w:szCs w:val="18"/>
          <w:lang w:val="en-GB"/>
        </w:rPr>
        <w:t>net benefits Vs. accumulated balance (NPV) 2017-2030</w:t>
      </w:r>
    </w:p>
    <w:p w14:paraId="5784E545" w14:textId="77777777" w:rsidR="003C706E" w:rsidRPr="003C706E" w:rsidRDefault="003C706E" w:rsidP="003C706E">
      <w:pPr>
        <w:rPr>
          <w:rFonts w:ascii="Times New Roman" w:eastAsia="Times New Roman" w:hAnsi="Times New Roman" w:cs="Times New Roman"/>
          <w:lang w:val="en-GB"/>
        </w:rPr>
      </w:pPr>
    </w:p>
    <w:p w14:paraId="205C6E45" w14:textId="77777777" w:rsidR="003C706E" w:rsidRPr="003C706E" w:rsidRDefault="003C706E" w:rsidP="00ED5210">
      <w:pPr>
        <w:jc w:val="center"/>
        <w:rPr>
          <w:lang w:val="en-GB"/>
        </w:rPr>
      </w:pPr>
      <w:r w:rsidRPr="003C706E">
        <w:rPr>
          <w:noProof/>
          <w:lang w:val="en-GB" w:eastAsia="en-GB"/>
        </w:rPr>
        <w:lastRenderedPageBreak/>
        <w:drawing>
          <wp:inline distT="0" distB="0" distL="0" distR="0" wp14:anchorId="26F293BC" wp14:editId="2277E10D">
            <wp:extent cx="4635108" cy="2582802"/>
            <wp:effectExtent l="0" t="0" r="13335" b="8255"/>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4EA7386-672B-124F-B536-52E5FE00F6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FF1D9E" w14:textId="77777777" w:rsidR="003C706E" w:rsidRPr="003C706E" w:rsidRDefault="003C706E">
      <w:pPr>
        <w:rPr>
          <w:lang w:val="en-GB"/>
        </w:rPr>
      </w:pPr>
    </w:p>
    <w:p w14:paraId="1A1FF3FE" w14:textId="77777777"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Arial" w:eastAsia="Times New Roman" w:hAnsi="Arial" w:cs="Arial"/>
          <w:b/>
          <w:bCs/>
          <w:color w:val="333333"/>
          <w:sz w:val="18"/>
          <w:szCs w:val="18"/>
          <w:lang w:val="en-GB"/>
        </w:rPr>
        <w:t>FSB</w:t>
      </w:r>
    </w:p>
    <w:p w14:paraId="56E01696" w14:textId="77777777" w:rsidR="003C706E" w:rsidRPr="003C706E" w:rsidRDefault="003C706E" w:rsidP="003C706E">
      <w:pPr>
        <w:shd w:val="clear" w:color="auto" w:fill="FFFFFF"/>
        <w:spacing w:before="120"/>
        <w:jc w:val="both"/>
        <w:rPr>
          <w:rFonts w:ascii="Times New Roman" w:eastAsia="Times New Roman" w:hAnsi="Times New Roman" w:cs="Times New Roman"/>
          <w:lang w:val="en-GB"/>
        </w:rPr>
      </w:pPr>
      <w:r w:rsidRPr="003C706E">
        <w:rPr>
          <w:rFonts w:ascii="Arial" w:eastAsia="Times New Roman" w:hAnsi="Arial" w:cs="Arial"/>
          <w:color w:val="000000"/>
          <w:sz w:val="18"/>
          <w:szCs w:val="18"/>
          <w:lang w:val="en-GB"/>
        </w:rPr>
        <w:t xml:space="preserve">The FSB scenario projects the expansion of the area under PSB incentives to a total of 31.147 ha. The result in LUC by 2030 remains a decrease in forest and </w:t>
      </w:r>
      <w:proofErr w:type="spellStart"/>
      <w:r w:rsidRPr="003C706E">
        <w:rPr>
          <w:rFonts w:ascii="Arial" w:eastAsia="Times New Roman" w:hAnsi="Arial" w:cs="Arial"/>
          <w:color w:val="000000"/>
          <w:sz w:val="18"/>
          <w:szCs w:val="18"/>
          <w:lang w:val="en-GB"/>
        </w:rPr>
        <w:t>paramo</w:t>
      </w:r>
      <w:proofErr w:type="spellEnd"/>
      <w:r w:rsidRPr="003C706E">
        <w:rPr>
          <w:rFonts w:ascii="Arial" w:eastAsia="Times New Roman" w:hAnsi="Arial" w:cs="Arial"/>
          <w:color w:val="000000"/>
          <w:sz w:val="18"/>
          <w:szCs w:val="18"/>
          <w:lang w:val="en-GB"/>
        </w:rPr>
        <w:t>, and increase in pastures, however the intensity is significantly less than that observed in the DEG scenario.</w:t>
      </w:r>
    </w:p>
    <w:p w14:paraId="4050BD58" w14:textId="5712C5CF" w:rsidR="003C706E" w:rsidRPr="003C706E" w:rsidRDefault="003C706E" w:rsidP="00ED5210">
      <w:pPr>
        <w:shd w:val="clear" w:color="auto" w:fill="FFFFFF"/>
        <w:spacing w:before="120"/>
        <w:jc w:val="both"/>
        <w:rPr>
          <w:rFonts w:ascii="Times New Roman" w:eastAsia="Times New Roman" w:hAnsi="Times New Roman" w:cs="Times New Roman"/>
          <w:lang w:val="en-GB"/>
        </w:rPr>
      </w:pPr>
      <w:r w:rsidRPr="003C706E">
        <w:rPr>
          <w:rFonts w:ascii="Times New Roman" w:eastAsia="Times New Roman" w:hAnsi="Times New Roman" w:cs="Times New Roman"/>
          <w:lang w:val="en-GB"/>
        </w:rPr>
        <w:t> </w:t>
      </w:r>
      <w:r w:rsidRPr="003C706E">
        <w:rPr>
          <w:rFonts w:ascii="Arial" w:eastAsia="Times New Roman" w:hAnsi="Arial" w:cs="Arial"/>
          <w:b/>
          <w:bCs/>
          <w:color w:val="333333"/>
          <w:sz w:val="18"/>
          <w:szCs w:val="18"/>
          <w:lang w:val="en-GB"/>
        </w:rPr>
        <w:t>CBA for FSB</w:t>
      </w:r>
    </w:p>
    <w:p w14:paraId="747CBFB1" w14:textId="590B2FED" w:rsidR="003C706E" w:rsidRPr="003C706E" w:rsidRDefault="003C706E" w:rsidP="003C706E">
      <w:pPr>
        <w:shd w:val="clear" w:color="auto" w:fill="FFFFFF"/>
        <w:spacing w:before="120"/>
        <w:jc w:val="both"/>
        <w:rPr>
          <w:rFonts w:ascii="Times New Roman" w:eastAsia="Times New Roman" w:hAnsi="Times New Roman" w:cs="Times New Roman"/>
          <w:lang w:val="en-GB"/>
        </w:rPr>
      </w:pPr>
      <w:r w:rsidRPr="003C706E">
        <w:rPr>
          <w:rFonts w:ascii="Arial" w:eastAsia="Times New Roman" w:hAnsi="Arial" w:cs="Arial"/>
          <w:color w:val="000000"/>
          <w:sz w:val="18"/>
          <w:szCs w:val="18"/>
          <w:lang w:val="en-GB"/>
        </w:rPr>
        <w:t>Under FSB scenario the natural base in 2030 is diminish</w:t>
      </w:r>
      <w:r w:rsidR="003639AC">
        <w:rPr>
          <w:rFonts w:ascii="Arial" w:eastAsia="Times New Roman" w:hAnsi="Arial" w:cs="Arial"/>
          <w:color w:val="000000"/>
          <w:sz w:val="18"/>
          <w:szCs w:val="18"/>
          <w:lang w:val="en-GB"/>
        </w:rPr>
        <w:t>ed when compared to that of 2016</w:t>
      </w:r>
      <w:r w:rsidRPr="003C706E">
        <w:rPr>
          <w:rFonts w:ascii="Arial" w:eastAsia="Times New Roman" w:hAnsi="Arial" w:cs="Arial"/>
          <w:color w:val="000000"/>
          <w:sz w:val="18"/>
          <w:szCs w:val="18"/>
          <w:lang w:val="en-GB"/>
        </w:rPr>
        <w:t>. Howev</w:t>
      </w:r>
      <w:bookmarkStart w:id="0" w:name="_GoBack"/>
      <w:bookmarkEnd w:id="0"/>
      <w:r w:rsidRPr="003C706E">
        <w:rPr>
          <w:rFonts w:ascii="Arial" w:eastAsia="Times New Roman" w:hAnsi="Arial" w:cs="Arial"/>
          <w:color w:val="000000"/>
          <w:sz w:val="18"/>
          <w:szCs w:val="18"/>
          <w:lang w:val="en-GB"/>
        </w:rPr>
        <w:t xml:space="preserve">er, when the comparison of the natural base is made between FSB and BAU, FSB has an extra 8,903 ha of forest and a reduction of 8,957 ha of pasture. </w:t>
      </w:r>
      <w:r w:rsidRPr="003C706E">
        <w:rPr>
          <w:rFonts w:ascii="Arial" w:eastAsia="Times New Roman" w:hAnsi="Arial" w:cs="Arial"/>
          <w:color w:val="333333"/>
          <w:sz w:val="18"/>
          <w:szCs w:val="18"/>
          <w:lang w:val="en-GB"/>
        </w:rPr>
        <w:t>This positive result generates an additional revenue in hydroelectricity for the CHCCS of USD 2,128 million and USD 10,956 in avoided sediment removal costs. The estimated cost of implementing the policies assumed in the FSB scenario is of 1.7 million USD for the entire period analysed. Th</w:t>
      </w:r>
      <w:r w:rsidR="00B66CBC">
        <w:rPr>
          <w:rFonts w:ascii="Arial" w:eastAsia="Times New Roman" w:hAnsi="Arial" w:cs="Arial"/>
          <w:color w:val="333333"/>
          <w:sz w:val="18"/>
          <w:szCs w:val="18"/>
          <w:lang w:val="en-GB"/>
        </w:rPr>
        <w:t>e</w:t>
      </w:r>
      <w:r w:rsidRPr="003C706E">
        <w:rPr>
          <w:rFonts w:ascii="Arial" w:eastAsia="Times New Roman" w:hAnsi="Arial" w:cs="Arial"/>
          <w:color w:val="333333"/>
          <w:sz w:val="18"/>
          <w:szCs w:val="18"/>
          <w:lang w:val="en-GB"/>
        </w:rPr>
        <w:t xml:space="preserve"> NPV </w:t>
      </w:r>
      <w:r w:rsidR="00B66CBC">
        <w:rPr>
          <w:rFonts w:ascii="Arial" w:eastAsia="Times New Roman" w:hAnsi="Arial" w:cs="Arial"/>
          <w:color w:val="333333"/>
          <w:sz w:val="18"/>
          <w:szCs w:val="18"/>
          <w:lang w:val="en-GB"/>
        </w:rPr>
        <w:t xml:space="preserve">of this scenario </w:t>
      </w:r>
      <w:r w:rsidRPr="003C706E">
        <w:rPr>
          <w:rFonts w:ascii="Arial" w:eastAsia="Times New Roman" w:hAnsi="Arial" w:cs="Arial"/>
          <w:color w:val="333333"/>
          <w:sz w:val="18"/>
          <w:szCs w:val="18"/>
          <w:lang w:val="en-GB"/>
        </w:rPr>
        <w:t xml:space="preserve">by 2030 </w:t>
      </w:r>
      <w:r w:rsidR="00B66CBC">
        <w:rPr>
          <w:rFonts w:ascii="Arial" w:eastAsia="Times New Roman" w:hAnsi="Arial" w:cs="Arial"/>
          <w:color w:val="333333"/>
          <w:sz w:val="18"/>
          <w:szCs w:val="18"/>
          <w:lang w:val="en-GB"/>
        </w:rPr>
        <w:t>is</w:t>
      </w:r>
      <w:r w:rsidRPr="003C706E">
        <w:rPr>
          <w:rFonts w:ascii="Arial" w:eastAsia="Times New Roman" w:hAnsi="Arial" w:cs="Arial"/>
          <w:color w:val="333333"/>
          <w:sz w:val="18"/>
          <w:szCs w:val="18"/>
          <w:lang w:val="en-GB"/>
        </w:rPr>
        <w:t xml:space="preserve"> 376,000 USD</w:t>
      </w:r>
      <w:r w:rsidR="00B66CBC">
        <w:rPr>
          <w:rFonts w:ascii="Arial" w:eastAsia="Times New Roman" w:hAnsi="Arial" w:cs="Arial"/>
          <w:color w:val="333333"/>
          <w:sz w:val="18"/>
          <w:szCs w:val="18"/>
          <w:lang w:val="en-GB"/>
        </w:rPr>
        <w:t>, suggesting that relocating part of the hydropower revenue from the plant analysed to finance</w:t>
      </w:r>
      <w:r w:rsidR="005D3830">
        <w:rPr>
          <w:rFonts w:ascii="Arial" w:eastAsia="Times New Roman" w:hAnsi="Arial" w:cs="Arial"/>
          <w:color w:val="333333"/>
          <w:sz w:val="18"/>
          <w:szCs w:val="18"/>
          <w:lang w:val="en-GB"/>
        </w:rPr>
        <w:t xml:space="preserve"> this conservation policy i</w:t>
      </w:r>
      <w:r w:rsidR="00B66CBC">
        <w:rPr>
          <w:rFonts w:ascii="Arial" w:eastAsia="Times New Roman" w:hAnsi="Arial" w:cs="Arial"/>
          <w:color w:val="333333"/>
          <w:sz w:val="18"/>
          <w:szCs w:val="18"/>
          <w:lang w:val="en-GB"/>
        </w:rPr>
        <w:t>s economically viable.</w:t>
      </w:r>
      <w:r w:rsidRPr="003C706E">
        <w:rPr>
          <w:rFonts w:ascii="Arial" w:eastAsia="Times New Roman" w:hAnsi="Arial" w:cs="Arial"/>
          <w:color w:val="333333"/>
          <w:sz w:val="18"/>
          <w:szCs w:val="18"/>
          <w:lang w:val="en-GB"/>
        </w:rPr>
        <w:t xml:space="preserve"> Also in contrast with the DEG scenario, </w:t>
      </w:r>
      <w:r w:rsidR="0010240B">
        <w:rPr>
          <w:rFonts w:ascii="Arial" w:eastAsia="Times New Roman" w:hAnsi="Arial" w:cs="Arial"/>
          <w:color w:val="333333"/>
          <w:sz w:val="18"/>
          <w:szCs w:val="18"/>
          <w:lang w:val="en-GB"/>
        </w:rPr>
        <w:t>Graph 03</w:t>
      </w:r>
      <w:r w:rsidRPr="003C706E">
        <w:rPr>
          <w:rFonts w:ascii="Arial" w:eastAsia="Times New Roman" w:hAnsi="Arial" w:cs="Arial"/>
          <w:color w:val="333333"/>
          <w:sz w:val="18"/>
          <w:szCs w:val="18"/>
          <w:lang w:val="en-GB"/>
        </w:rPr>
        <w:t xml:space="preserve"> showing </w:t>
      </w:r>
      <w:r w:rsidR="0010240B">
        <w:rPr>
          <w:rFonts w:ascii="Arial" w:eastAsia="Times New Roman" w:hAnsi="Arial" w:cs="Arial"/>
          <w:color w:val="333333"/>
          <w:sz w:val="18"/>
          <w:szCs w:val="18"/>
          <w:lang w:val="en-GB"/>
        </w:rPr>
        <w:t>annual net</w:t>
      </w:r>
      <w:r w:rsidR="0010240B" w:rsidRPr="003C706E">
        <w:rPr>
          <w:rFonts w:ascii="Arial" w:eastAsia="Times New Roman" w:hAnsi="Arial" w:cs="Arial"/>
          <w:color w:val="333333"/>
          <w:sz w:val="18"/>
          <w:szCs w:val="18"/>
          <w:lang w:val="en-GB"/>
        </w:rPr>
        <w:t xml:space="preserve"> </w:t>
      </w:r>
      <w:r w:rsidRPr="003C706E">
        <w:rPr>
          <w:rFonts w:ascii="Arial" w:eastAsia="Times New Roman" w:hAnsi="Arial" w:cs="Arial"/>
          <w:color w:val="333333"/>
          <w:sz w:val="18"/>
          <w:szCs w:val="18"/>
          <w:lang w:val="en-GB"/>
        </w:rPr>
        <w:t xml:space="preserve">benefits Vs. </w:t>
      </w:r>
      <w:r w:rsidR="0010240B">
        <w:rPr>
          <w:rFonts w:ascii="Arial" w:eastAsia="Times New Roman" w:hAnsi="Arial" w:cs="Arial"/>
          <w:color w:val="333333"/>
          <w:sz w:val="18"/>
          <w:szCs w:val="18"/>
          <w:lang w:val="en-GB"/>
        </w:rPr>
        <w:t>net present value</w:t>
      </w:r>
      <w:r w:rsidRPr="003C706E">
        <w:rPr>
          <w:rFonts w:ascii="Arial" w:eastAsia="Times New Roman" w:hAnsi="Arial" w:cs="Arial"/>
          <w:color w:val="333333"/>
          <w:sz w:val="18"/>
          <w:szCs w:val="18"/>
          <w:lang w:val="en-GB"/>
        </w:rPr>
        <w:t xml:space="preserve"> suggests</w:t>
      </w:r>
      <w:r w:rsidR="0010240B">
        <w:rPr>
          <w:rFonts w:ascii="Arial" w:eastAsia="Times New Roman" w:hAnsi="Arial" w:cs="Arial"/>
          <w:color w:val="333333"/>
          <w:sz w:val="18"/>
          <w:szCs w:val="18"/>
          <w:lang w:val="en-GB"/>
        </w:rPr>
        <w:t xml:space="preserve"> a positive result </w:t>
      </w:r>
      <w:r w:rsidR="003E5F34">
        <w:rPr>
          <w:rFonts w:ascii="Arial" w:eastAsia="Times New Roman" w:hAnsi="Arial" w:cs="Arial"/>
          <w:color w:val="333333"/>
          <w:sz w:val="18"/>
          <w:szCs w:val="18"/>
          <w:lang w:val="en-GB"/>
        </w:rPr>
        <w:t>for an analysis going beyond 2030.</w:t>
      </w:r>
    </w:p>
    <w:p w14:paraId="70D2EAA0" w14:textId="77777777"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Times New Roman" w:eastAsia="Times New Roman" w:hAnsi="Times New Roman" w:cs="Times New Roman"/>
          <w:lang w:val="en-GB"/>
        </w:rPr>
        <w:t> </w:t>
      </w:r>
    </w:p>
    <w:p w14:paraId="667FE9BE" w14:textId="609059B4" w:rsidR="003C706E" w:rsidRPr="003C706E" w:rsidRDefault="003E5F34" w:rsidP="003C706E">
      <w:pPr>
        <w:shd w:val="clear" w:color="auto" w:fill="FFFFFF"/>
        <w:spacing w:after="160"/>
        <w:jc w:val="both"/>
        <w:rPr>
          <w:rFonts w:ascii="Times New Roman" w:eastAsia="Times New Roman" w:hAnsi="Times New Roman" w:cs="Times New Roman"/>
          <w:lang w:val="en-GB"/>
        </w:rPr>
      </w:pPr>
      <w:r>
        <w:rPr>
          <w:rFonts w:ascii="Arial" w:eastAsia="Times New Roman" w:hAnsi="Arial" w:cs="Arial"/>
          <w:color w:val="333333"/>
          <w:sz w:val="18"/>
          <w:szCs w:val="18"/>
          <w:lang w:val="en-GB"/>
        </w:rPr>
        <w:t>Graph 03</w:t>
      </w:r>
      <w:r w:rsidR="003C706E" w:rsidRPr="003C706E">
        <w:rPr>
          <w:rFonts w:ascii="Arial" w:eastAsia="Times New Roman" w:hAnsi="Arial" w:cs="Arial"/>
          <w:color w:val="333333"/>
          <w:sz w:val="18"/>
          <w:szCs w:val="18"/>
          <w:lang w:val="en-GB"/>
        </w:rPr>
        <w:t xml:space="preserve"> FSB - Yearly net benefits Vs. accumulated balance at the end of each year 2017-2030</w:t>
      </w:r>
    </w:p>
    <w:p w14:paraId="54371456" w14:textId="77777777" w:rsidR="003C706E" w:rsidRPr="003C706E" w:rsidRDefault="003C706E" w:rsidP="003C706E">
      <w:pPr>
        <w:rPr>
          <w:rFonts w:ascii="Times New Roman" w:eastAsia="Times New Roman" w:hAnsi="Times New Roman" w:cs="Times New Roman"/>
          <w:lang w:val="en-GB"/>
        </w:rPr>
      </w:pPr>
    </w:p>
    <w:p w14:paraId="6013F9D0" w14:textId="77777777" w:rsidR="003C706E" w:rsidRPr="003C706E" w:rsidRDefault="003C706E" w:rsidP="00ED5210">
      <w:pPr>
        <w:jc w:val="center"/>
        <w:rPr>
          <w:lang w:val="en-GB"/>
        </w:rPr>
      </w:pPr>
      <w:r w:rsidRPr="003C706E">
        <w:rPr>
          <w:noProof/>
          <w:lang w:val="en-GB" w:eastAsia="en-GB"/>
        </w:rPr>
        <w:drawing>
          <wp:inline distT="0" distB="0" distL="0" distR="0" wp14:anchorId="0147F7AF" wp14:editId="26D8AFDC">
            <wp:extent cx="4863708" cy="1982119"/>
            <wp:effectExtent l="0" t="0" r="13335" b="24765"/>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B926F0F-2A04-2B47-AA06-E4CF3BEC9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6380D8" w14:textId="77777777" w:rsidR="003C706E" w:rsidRPr="003C706E" w:rsidRDefault="003C706E">
      <w:pPr>
        <w:rPr>
          <w:lang w:val="en-GB"/>
        </w:rPr>
      </w:pPr>
    </w:p>
    <w:p w14:paraId="7952C7F7" w14:textId="77777777"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Arial" w:eastAsia="Times New Roman" w:hAnsi="Arial" w:cs="Arial"/>
          <w:b/>
          <w:bCs/>
          <w:color w:val="333333"/>
          <w:sz w:val="18"/>
          <w:szCs w:val="18"/>
          <w:lang w:val="en-GB"/>
        </w:rPr>
        <w:t>PNI</w:t>
      </w:r>
    </w:p>
    <w:p w14:paraId="772D3689" w14:textId="6088978B" w:rsidR="004C745D" w:rsidRPr="003C706E" w:rsidRDefault="003C706E" w:rsidP="00ED5210">
      <w:pPr>
        <w:shd w:val="clear" w:color="auto" w:fill="FFFFFF"/>
        <w:spacing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The PNI scenario comprehends tree types of incentives and assumes their combined application. 33.521 ha is assumed to be under PSB conservation incentives; 18.700 ha of degraded land is restored into forests and 27.855 ha of pastures is substituted for silvopastoral systems. The result in LUC by 2030 is positive for forest and </w:t>
      </w:r>
      <w:proofErr w:type="spellStart"/>
      <w:r w:rsidRPr="003C706E">
        <w:rPr>
          <w:rFonts w:ascii="Arial" w:eastAsia="Times New Roman" w:hAnsi="Arial" w:cs="Arial"/>
          <w:color w:val="333333"/>
          <w:sz w:val="18"/>
          <w:szCs w:val="18"/>
          <w:lang w:val="en-GB"/>
        </w:rPr>
        <w:t>paramo</w:t>
      </w:r>
      <w:proofErr w:type="spellEnd"/>
      <w:r w:rsidRPr="003C706E">
        <w:rPr>
          <w:rFonts w:ascii="Arial" w:eastAsia="Times New Roman" w:hAnsi="Arial" w:cs="Arial"/>
          <w:color w:val="333333"/>
          <w:sz w:val="18"/>
          <w:szCs w:val="18"/>
          <w:lang w:val="en-GB"/>
        </w:rPr>
        <w:t xml:space="preserve"> and a decrease in pastures with all its remaining area having </w:t>
      </w:r>
      <w:r w:rsidR="003E5F34" w:rsidRPr="003C706E">
        <w:rPr>
          <w:rFonts w:ascii="Arial" w:eastAsia="Times New Roman" w:hAnsi="Arial" w:cs="Arial"/>
          <w:color w:val="333333"/>
          <w:sz w:val="18"/>
          <w:szCs w:val="18"/>
          <w:lang w:val="en-GB"/>
        </w:rPr>
        <w:t>been</w:t>
      </w:r>
      <w:r w:rsidRPr="003C706E">
        <w:rPr>
          <w:rFonts w:ascii="Arial" w:eastAsia="Times New Roman" w:hAnsi="Arial" w:cs="Arial"/>
          <w:color w:val="333333"/>
          <w:sz w:val="18"/>
          <w:szCs w:val="18"/>
          <w:lang w:val="en-GB"/>
        </w:rPr>
        <w:t xml:space="preserve"> transformed into </w:t>
      </w:r>
      <w:proofErr w:type="spellStart"/>
      <w:r w:rsidRPr="003C706E">
        <w:rPr>
          <w:rFonts w:ascii="Arial" w:eastAsia="Times New Roman" w:hAnsi="Arial" w:cs="Arial"/>
          <w:color w:val="333333"/>
          <w:sz w:val="18"/>
          <w:szCs w:val="18"/>
          <w:lang w:val="en-GB"/>
        </w:rPr>
        <w:t>silvopastoral</w:t>
      </w:r>
      <w:proofErr w:type="spellEnd"/>
      <w:r w:rsidRPr="003C706E">
        <w:rPr>
          <w:rFonts w:ascii="Arial" w:eastAsia="Times New Roman" w:hAnsi="Arial" w:cs="Arial"/>
          <w:color w:val="333333"/>
          <w:sz w:val="18"/>
          <w:szCs w:val="18"/>
          <w:lang w:val="en-GB"/>
        </w:rPr>
        <w:t xml:space="preserve"> systems. </w:t>
      </w:r>
    </w:p>
    <w:p w14:paraId="500BF3AE" w14:textId="77777777" w:rsidR="003C706E" w:rsidRPr="003C706E" w:rsidRDefault="003C706E">
      <w:pPr>
        <w:rPr>
          <w:lang w:val="en-GB"/>
        </w:rPr>
      </w:pPr>
    </w:p>
    <w:p w14:paraId="75903FD0" w14:textId="3721CC4D" w:rsidR="003C706E" w:rsidRPr="003C706E" w:rsidRDefault="0032785C" w:rsidP="003C706E">
      <w:pPr>
        <w:shd w:val="clear" w:color="auto" w:fill="FFFFFF"/>
        <w:spacing w:after="160"/>
        <w:jc w:val="both"/>
        <w:rPr>
          <w:rFonts w:ascii="Times New Roman" w:eastAsia="Times New Roman" w:hAnsi="Times New Roman" w:cs="Times New Roman"/>
          <w:lang w:val="en-GB"/>
        </w:rPr>
      </w:pPr>
      <w:r>
        <w:rPr>
          <w:rFonts w:ascii="Arial" w:eastAsia="Times New Roman" w:hAnsi="Arial" w:cs="Arial"/>
          <w:b/>
          <w:bCs/>
          <w:color w:val="333333"/>
          <w:sz w:val="18"/>
          <w:szCs w:val="18"/>
          <w:lang w:val="en-GB"/>
        </w:rPr>
        <w:t xml:space="preserve">CBA for </w:t>
      </w:r>
      <w:r w:rsidR="003C706E" w:rsidRPr="003C706E">
        <w:rPr>
          <w:rFonts w:ascii="Arial" w:eastAsia="Times New Roman" w:hAnsi="Arial" w:cs="Arial"/>
          <w:b/>
          <w:bCs/>
          <w:color w:val="333333"/>
          <w:sz w:val="18"/>
          <w:szCs w:val="18"/>
          <w:lang w:val="en-GB"/>
        </w:rPr>
        <w:t>PNI</w:t>
      </w:r>
    </w:p>
    <w:p w14:paraId="3A4E5D22" w14:textId="65C7589B" w:rsidR="003C706E" w:rsidRPr="003C706E" w:rsidRDefault="003C706E" w:rsidP="00ED5210">
      <w:pPr>
        <w:shd w:val="clear" w:color="auto" w:fill="FFFFFF"/>
        <w:spacing w:after="160"/>
        <w:jc w:val="both"/>
        <w:rPr>
          <w:lang w:val="en-GB"/>
        </w:rPr>
      </w:pPr>
      <w:r w:rsidRPr="003C706E">
        <w:rPr>
          <w:rFonts w:ascii="Arial" w:eastAsia="Times New Roman" w:hAnsi="Arial" w:cs="Arial"/>
          <w:color w:val="333333"/>
          <w:sz w:val="18"/>
          <w:szCs w:val="18"/>
          <w:lang w:val="en-GB"/>
        </w:rPr>
        <w:lastRenderedPageBreak/>
        <w:t xml:space="preserve">The PNI scenario brings for the CHCCS an extra USD 16,694 million in hydroelectricity revenue and avoids USD 221,126 in costs of sediment removal. But with the largest investment of all the scenarios by 2030 the NPV remains negative at USD 16,781 million. However, the improved natural </w:t>
      </w:r>
      <w:r w:rsidR="003E5F34">
        <w:rPr>
          <w:rFonts w:ascii="Arial" w:eastAsia="Times New Roman" w:hAnsi="Arial" w:cs="Arial"/>
          <w:color w:val="333333"/>
          <w:sz w:val="18"/>
          <w:szCs w:val="18"/>
          <w:lang w:val="en-GB"/>
        </w:rPr>
        <w:t>capital</w:t>
      </w:r>
      <w:r w:rsidR="003E5F34" w:rsidRPr="003C706E">
        <w:rPr>
          <w:rFonts w:ascii="Arial" w:eastAsia="Times New Roman" w:hAnsi="Arial" w:cs="Arial"/>
          <w:color w:val="333333"/>
          <w:sz w:val="18"/>
          <w:szCs w:val="18"/>
          <w:lang w:val="en-GB"/>
        </w:rPr>
        <w:t xml:space="preserve"> </w:t>
      </w:r>
      <w:r w:rsidRPr="003C706E">
        <w:rPr>
          <w:rFonts w:ascii="Arial" w:eastAsia="Times New Roman" w:hAnsi="Arial" w:cs="Arial"/>
          <w:color w:val="333333"/>
          <w:sz w:val="18"/>
          <w:szCs w:val="18"/>
          <w:lang w:val="en-GB"/>
        </w:rPr>
        <w:t>means that the extra 48,672 ha of forest</w:t>
      </w:r>
      <w:r w:rsidR="003E5F34">
        <w:rPr>
          <w:rFonts w:ascii="Arial" w:eastAsia="Times New Roman" w:hAnsi="Arial" w:cs="Arial"/>
          <w:color w:val="333333"/>
          <w:sz w:val="18"/>
          <w:szCs w:val="18"/>
          <w:lang w:val="en-GB"/>
        </w:rPr>
        <w:t xml:space="preserve"> area that PNI would have</w:t>
      </w:r>
      <w:r w:rsidRPr="003C706E">
        <w:rPr>
          <w:rFonts w:ascii="Arial" w:eastAsia="Times New Roman" w:hAnsi="Arial" w:cs="Arial"/>
          <w:color w:val="333333"/>
          <w:sz w:val="18"/>
          <w:szCs w:val="18"/>
          <w:lang w:val="en-GB"/>
        </w:rPr>
        <w:t xml:space="preserve"> in relation to BAU positively impact all ES’s being provided for a period beyond that established by the CBA. For this </w:t>
      </w:r>
      <w:r w:rsidR="003E5F34" w:rsidRPr="003C706E">
        <w:rPr>
          <w:rFonts w:ascii="Arial" w:eastAsia="Times New Roman" w:hAnsi="Arial" w:cs="Arial"/>
          <w:color w:val="333333"/>
          <w:sz w:val="18"/>
          <w:szCs w:val="18"/>
          <w:lang w:val="en-GB"/>
        </w:rPr>
        <w:t>reason,</w:t>
      </w:r>
      <w:r w:rsidRPr="003C706E">
        <w:rPr>
          <w:rFonts w:ascii="Arial" w:eastAsia="Times New Roman" w:hAnsi="Arial" w:cs="Arial"/>
          <w:color w:val="333333"/>
          <w:sz w:val="18"/>
          <w:szCs w:val="18"/>
          <w:lang w:val="en-GB"/>
        </w:rPr>
        <w:t xml:space="preserve"> research examining this scenario over a longer period of time</w:t>
      </w:r>
      <w:r w:rsidR="003E5F34">
        <w:rPr>
          <w:rFonts w:ascii="Arial" w:eastAsia="Times New Roman" w:hAnsi="Arial" w:cs="Arial"/>
          <w:color w:val="333333"/>
          <w:sz w:val="18"/>
          <w:szCs w:val="18"/>
          <w:lang w:val="en-GB"/>
        </w:rPr>
        <w:t xml:space="preserve"> and perhaps considering a broader subsection of ES’s</w:t>
      </w:r>
      <w:r w:rsidRPr="003C706E">
        <w:rPr>
          <w:rFonts w:ascii="Arial" w:eastAsia="Times New Roman" w:hAnsi="Arial" w:cs="Arial"/>
          <w:color w:val="333333"/>
          <w:sz w:val="18"/>
          <w:szCs w:val="18"/>
          <w:lang w:val="en-GB"/>
        </w:rPr>
        <w:t xml:space="preserve"> is required to appraise it from a policy view point. </w:t>
      </w:r>
    </w:p>
    <w:p w14:paraId="6B57C54E" w14:textId="0B2A506F" w:rsidR="003C706E" w:rsidRPr="003C706E" w:rsidRDefault="003E5F34" w:rsidP="003C706E">
      <w:pPr>
        <w:shd w:val="clear" w:color="auto" w:fill="FFFFFF"/>
        <w:spacing w:after="160"/>
        <w:jc w:val="both"/>
        <w:rPr>
          <w:rFonts w:ascii="Times New Roman" w:eastAsia="Times New Roman" w:hAnsi="Times New Roman" w:cs="Times New Roman"/>
          <w:lang w:val="en-GB"/>
        </w:rPr>
      </w:pPr>
      <w:r>
        <w:rPr>
          <w:rFonts w:ascii="Arial" w:eastAsia="Times New Roman" w:hAnsi="Arial" w:cs="Arial"/>
          <w:color w:val="333333"/>
          <w:sz w:val="18"/>
          <w:szCs w:val="18"/>
          <w:lang w:val="en-GB"/>
        </w:rPr>
        <w:t>The results show that the type of incentive used as part of the PNI scenario, the conservation of zones of hydric importance, is the most cost effective of all. If separated from the other aspects of the PNI scenario, this type of conservation incentive has a</w:t>
      </w:r>
      <w:r w:rsidR="003C706E" w:rsidRPr="003C706E">
        <w:rPr>
          <w:rFonts w:ascii="Arial" w:eastAsia="Times New Roman" w:hAnsi="Arial" w:cs="Arial"/>
          <w:color w:val="333333"/>
          <w:sz w:val="18"/>
          <w:szCs w:val="18"/>
          <w:lang w:val="en-GB"/>
        </w:rPr>
        <w:t xml:space="preserve"> NPV of USD 6.2 million by 2030. Figure </w:t>
      </w:r>
      <w:r>
        <w:rPr>
          <w:rFonts w:ascii="Arial" w:eastAsia="Times New Roman" w:hAnsi="Arial" w:cs="Arial"/>
          <w:color w:val="333333"/>
          <w:sz w:val="18"/>
          <w:szCs w:val="18"/>
          <w:lang w:val="en-GB"/>
        </w:rPr>
        <w:t>01</w:t>
      </w:r>
      <w:r w:rsidRPr="003C706E">
        <w:rPr>
          <w:rFonts w:ascii="Arial" w:eastAsia="Times New Roman" w:hAnsi="Arial" w:cs="Arial"/>
          <w:color w:val="333333"/>
          <w:sz w:val="18"/>
          <w:szCs w:val="18"/>
          <w:lang w:val="en-GB"/>
        </w:rPr>
        <w:t xml:space="preserve"> </w:t>
      </w:r>
      <w:r w:rsidR="003C706E" w:rsidRPr="003C706E">
        <w:rPr>
          <w:rFonts w:ascii="Arial" w:eastAsia="Times New Roman" w:hAnsi="Arial" w:cs="Arial"/>
          <w:color w:val="333333"/>
          <w:sz w:val="18"/>
          <w:szCs w:val="18"/>
          <w:lang w:val="en-GB"/>
        </w:rPr>
        <w:t xml:space="preserve">summarizes the CBA of the PNI scenario for each of the incentive types that composes it. </w:t>
      </w:r>
    </w:p>
    <w:p w14:paraId="21392704" w14:textId="77777777" w:rsidR="003C706E" w:rsidRPr="003C706E" w:rsidRDefault="003C706E" w:rsidP="003C706E">
      <w:pPr>
        <w:shd w:val="clear" w:color="auto" w:fill="FFFFFF"/>
        <w:spacing w:after="160"/>
        <w:jc w:val="both"/>
        <w:rPr>
          <w:rFonts w:ascii="Times New Roman" w:eastAsia="Times New Roman" w:hAnsi="Times New Roman" w:cs="Times New Roman"/>
          <w:lang w:val="en-GB"/>
        </w:rPr>
      </w:pPr>
      <w:r w:rsidRPr="003C706E">
        <w:rPr>
          <w:rFonts w:ascii="Times New Roman" w:eastAsia="Times New Roman" w:hAnsi="Times New Roman" w:cs="Times New Roman"/>
          <w:lang w:val="en-GB"/>
        </w:rPr>
        <w:t> </w:t>
      </w:r>
    </w:p>
    <w:p w14:paraId="289A8AAA" w14:textId="715C7828" w:rsidR="003C706E" w:rsidRPr="003C706E" w:rsidRDefault="003C706E" w:rsidP="00ED5210">
      <w:pPr>
        <w:shd w:val="clear" w:color="auto" w:fill="FFFFFF"/>
        <w:spacing w:before="120"/>
        <w:jc w:val="center"/>
        <w:rPr>
          <w:rFonts w:ascii="Arial" w:eastAsia="Times New Roman" w:hAnsi="Arial" w:cs="Arial"/>
          <w:color w:val="333333"/>
          <w:sz w:val="18"/>
          <w:szCs w:val="18"/>
          <w:lang w:val="en-GB"/>
        </w:rPr>
      </w:pPr>
      <w:r w:rsidRPr="003C706E">
        <w:rPr>
          <w:rFonts w:ascii="Arial" w:eastAsia="Times New Roman" w:hAnsi="Arial" w:cs="Arial"/>
          <w:color w:val="333333"/>
          <w:sz w:val="18"/>
          <w:szCs w:val="18"/>
          <w:lang w:val="en-GB"/>
        </w:rPr>
        <w:t xml:space="preserve">Figure </w:t>
      </w:r>
      <w:r w:rsidR="003E5F34">
        <w:rPr>
          <w:rFonts w:ascii="Arial" w:eastAsia="Times New Roman" w:hAnsi="Arial" w:cs="Arial"/>
          <w:color w:val="333333"/>
          <w:sz w:val="18"/>
          <w:szCs w:val="18"/>
          <w:lang w:val="en-GB"/>
        </w:rPr>
        <w:t>01</w:t>
      </w:r>
      <w:r w:rsidRPr="003C706E">
        <w:rPr>
          <w:rFonts w:ascii="Arial" w:eastAsia="Times New Roman" w:hAnsi="Arial" w:cs="Arial"/>
          <w:color w:val="333333"/>
          <w:sz w:val="18"/>
          <w:szCs w:val="18"/>
          <w:lang w:val="en-GB"/>
        </w:rPr>
        <w:t xml:space="preserve"> CBA for the different incentives composing PNI scenario 2017-2030</w:t>
      </w:r>
    </w:p>
    <w:p w14:paraId="4BC656CD" w14:textId="77777777" w:rsidR="003C706E" w:rsidRPr="003C706E" w:rsidRDefault="003C706E" w:rsidP="00ED5210">
      <w:pPr>
        <w:shd w:val="clear" w:color="auto" w:fill="FFFFFF"/>
        <w:spacing w:before="120"/>
        <w:jc w:val="center"/>
        <w:rPr>
          <w:rFonts w:ascii="Times New Roman" w:eastAsia="Times New Roman" w:hAnsi="Times New Roman" w:cs="Times New Roman"/>
          <w:lang w:val="en-GB"/>
        </w:rPr>
      </w:pPr>
      <w:r w:rsidRPr="003C706E">
        <w:rPr>
          <w:noProof/>
          <w:lang w:val="en-GB" w:eastAsia="en-GB"/>
        </w:rPr>
        <w:drawing>
          <wp:inline distT="0" distB="0" distL="0" distR="0" wp14:anchorId="7DD4B860" wp14:editId="36BFE673">
            <wp:extent cx="4863708" cy="3229691"/>
            <wp:effectExtent l="0" t="0" r="13335" b="21590"/>
            <wp:docPr id="16" name="Chart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FCD569" w14:textId="77777777" w:rsidR="003C706E" w:rsidRPr="003C706E" w:rsidRDefault="003C706E" w:rsidP="003C706E">
      <w:pPr>
        <w:rPr>
          <w:rFonts w:ascii="Times New Roman" w:eastAsia="Times New Roman" w:hAnsi="Times New Roman" w:cs="Times New Roman"/>
          <w:lang w:val="en-GB"/>
        </w:rPr>
      </w:pPr>
    </w:p>
    <w:p w14:paraId="0893D5F2" w14:textId="77777777" w:rsidR="003C706E" w:rsidRPr="003C706E" w:rsidRDefault="003C706E" w:rsidP="003C706E">
      <w:pPr>
        <w:shd w:val="clear" w:color="auto" w:fill="FFFFFF"/>
        <w:spacing w:before="160" w:after="160"/>
        <w:jc w:val="both"/>
        <w:outlineLvl w:val="3"/>
        <w:rPr>
          <w:rFonts w:ascii="Arial" w:eastAsia="Times New Roman" w:hAnsi="Arial" w:cs="Arial"/>
          <w:b/>
          <w:bCs/>
          <w:color w:val="2F5496" w:themeColor="accent1" w:themeShade="BF"/>
          <w:lang w:val="en-GB"/>
        </w:rPr>
      </w:pPr>
      <w:r w:rsidRPr="003C706E">
        <w:rPr>
          <w:rFonts w:ascii="Arial" w:eastAsia="Times New Roman" w:hAnsi="Arial" w:cs="Arial"/>
          <w:b/>
          <w:bCs/>
          <w:color w:val="2F5496" w:themeColor="accent1" w:themeShade="BF"/>
          <w:lang w:val="en-GB"/>
        </w:rPr>
        <w:t>Policy Implications</w:t>
      </w:r>
    </w:p>
    <w:p w14:paraId="2A834C41" w14:textId="77777777" w:rsidR="003C706E" w:rsidRPr="003C706E" w:rsidRDefault="003C706E" w:rsidP="003C706E">
      <w:pPr>
        <w:shd w:val="clear" w:color="auto" w:fill="FFFFFF"/>
        <w:spacing w:before="120"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The cost-benefit analysis made in this report indicates how the benefits of two of the 14 ecosystem services identified compare with the implementation costs of the policies assumed in each scenario. It contemplates the total costs involved in the implementation of the policies but only a small subset of the benefits produced. This scope of analysis was defined as to capture only the benefits generated to the CHCCS. For a </w:t>
      </w:r>
      <w:proofErr w:type="gramStart"/>
      <w:r w:rsidRPr="003C706E">
        <w:rPr>
          <w:rFonts w:ascii="Arial" w:eastAsia="Times New Roman" w:hAnsi="Arial" w:cs="Arial"/>
          <w:color w:val="333333"/>
          <w:sz w:val="18"/>
          <w:szCs w:val="18"/>
          <w:lang w:val="en-GB"/>
        </w:rPr>
        <w:t>more broad</w:t>
      </w:r>
      <w:proofErr w:type="gramEnd"/>
      <w:r w:rsidRPr="003C706E">
        <w:rPr>
          <w:rFonts w:ascii="Arial" w:eastAsia="Times New Roman" w:hAnsi="Arial" w:cs="Arial"/>
          <w:color w:val="333333"/>
          <w:sz w:val="18"/>
          <w:szCs w:val="18"/>
          <w:lang w:val="en-GB"/>
        </w:rPr>
        <w:t xml:space="preserve"> appraisal the valuation of benefits could expand to cover other ES’s and longer period. This is </w:t>
      </w:r>
      <w:proofErr w:type="spellStart"/>
      <w:proofErr w:type="gramStart"/>
      <w:r w:rsidRPr="003C706E">
        <w:rPr>
          <w:rFonts w:ascii="Arial" w:eastAsia="Times New Roman" w:hAnsi="Arial" w:cs="Arial"/>
          <w:color w:val="333333"/>
          <w:sz w:val="18"/>
          <w:szCs w:val="18"/>
          <w:lang w:val="en-GB"/>
        </w:rPr>
        <w:t>specially</w:t>
      </w:r>
      <w:proofErr w:type="spellEnd"/>
      <w:proofErr w:type="gramEnd"/>
      <w:r w:rsidRPr="003C706E">
        <w:rPr>
          <w:rFonts w:ascii="Arial" w:eastAsia="Times New Roman" w:hAnsi="Arial" w:cs="Arial"/>
          <w:color w:val="333333"/>
          <w:sz w:val="18"/>
          <w:szCs w:val="18"/>
          <w:lang w:val="en-GB"/>
        </w:rPr>
        <w:t xml:space="preserve"> important given the time that takes for ecosystems to respond to the type of interventions being analysed. </w:t>
      </w:r>
    </w:p>
    <w:p w14:paraId="0A111AF4" w14:textId="77777777" w:rsidR="003C706E" w:rsidRPr="003C706E" w:rsidRDefault="003C706E" w:rsidP="003C706E">
      <w:pPr>
        <w:shd w:val="clear" w:color="auto" w:fill="FFFFFF"/>
        <w:spacing w:before="120"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This study demonstrates the important role of ecosystems through their potential to generate ES that support and enhance the production of economic sectors. The information generated by economic analysis of ecosystem services such as this study can inform decision making processes, particularly in places with diverse and abundant natural capital. Although the assessment focuses on one watershed, the TEEB aims to inform national policy, as Socio Bosque is a nationwide program and land use change is a nationwide threat. </w:t>
      </w:r>
    </w:p>
    <w:p w14:paraId="4D43C51A" w14:textId="77777777" w:rsidR="003C706E" w:rsidRPr="003C706E" w:rsidRDefault="003C706E" w:rsidP="003C706E">
      <w:pPr>
        <w:shd w:val="clear" w:color="auto" w:fill="FFFFFF"/>
        <w:spacing w:before="120"/>
        <w:ind w:right="360"/>
        <w:jc w:val="both"/>
        <w:rPr>
          <w:rFonts w:ascii="Times New Roman" w:eastAsia="Times New Roman" w:hAnsi="Times New Roman" w:cs="Times New Roman"/>
          <w:lang w:val="en-GB"/>
        </w:rPr>
      </w:pPr>
      <w:r w:rsidRPr="003C706E">
        <w:rPr>
          <w:rFonts w:ascii="Arial" w:eastAsia="Times New Roman" w:hAnsi="Arial" w:cs="Arial"/>
          <w:b/>
          <w:bCs/>
          <w:color w:val="333333"/>
          <w:sz w:val="18"/>
          <w:szCs w:val="18"/>
          <w:lang w:val="en-GB"/>
        </w:rPr>
        <w:t xml:space="preserve">Policy recommendations </w:t>
      </w:r>
      <w:r w:rsidRPr="003C706E">
        <w:rPr>
          <w:rFonts w:ascii="Arial" w:eastAsia="Times New Roman" w:hAnsi="Arial" w:cs="Arial"/>
          <w:color w:val="333333"/>
          <w:sz w:val="18"/>
          <w:szCs w:val="18"/>
          <w:lang w:val="en-GB"/>
        </w:rPr>
        <w:t xml:space="preserve">at the </w:t>
      </w:r>
      <w:r w:rsidRPr="003C706E">
        <w:rPr>
          <w:rFonts w:ascii="Arial" w:eastAsia="Times New Roman" w:hAnsi="Arial" w:cs="Arial"/>
          <w:i/>
          <w:iCs/>
          <w:color w:val="333333"/>
          <w:sz w:val="18"/>
          <w:szCs w:val="18"/>
          <w:lang w:val="en-GB"/>
        </w:rPr>
        <w:t xml:space="preserve">national level </w:t>
      </w:r>
      <w:r w:rsidRPr="003C706E">
        <w:rPr>
          <w:rFonts w:ascii="Arial" w:eastAsia="Times New Roman" w:hAnsi="Arial" w:cs="Arial"/>
          <w:color w:val="333333"/>
          <w:sz w:val="18"/>
          <w:szCs w:val="18"/>
          <w:lang w:val="en-GB"/>
        </w:rPr>
        <w:t>propose to institutionalize the economic assessment of ecosystem services in national policy making. Analysis and evaluation of ecosystem services should be part of land use planning tools and processes.</w:t>
      </w:r>
    </w:p>
    <w:p w14:paraId="3BED54B5" w14:textId="77777777" w:rsidR="003C706E" w:rsidRPr="003C706E" w:rsidRDefault="003C706E" w:rsidP="003C706E">
      <w:pPr>
        <w:shd w:val="clear" w:color="auto" w:fill="FFFFFF"/>
        <w:spacing w:after="160"/>
        <w:ind w:right="3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Finance hydrometeorological information systems to improve data availability, streamline data collection processes, and invest in biophysical modelling capacity to increase the effectiveness of ecosystem services assessments as an input to policy making.</w:t>
      </w:r>
    </w:p>
    <w:p w14:paraId="1AD76A90" w14:textId="77777777" w:rsidR="003C706E" w:rsidRPr="003C706E" w:rsidRDefault="003C706E" w:rsidP="003C706E">
      <w:pPr>
        <w:shd w:val="clear" w:color="auto" w:fill="FFFFFF"/>
        <w:spacing w:before="200"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Create watershed councils or committees at watershed and micro watersheds levels, promoting the participation of multiple stakeholders in decision making, which links with better governance arrangements and the implementation of the ecosystem approach.</w:t>
      </w:r>
    </w:p>
    <w:p w14:paraId="551FE2BD" w14:textId="77777777" w:rsidR="003C706E" w:rsidRPr="003C706E" w:rsidRDefault="003C706E" w:rsidP="003C706E">
      <w:pPr>
        <w:shd w:val="clear" w:color="auto" w:fill="FFFFFF"/>
        <w:spacing w:before="120"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lastRenderedPageBreak/>
        <w:t>Secure long term financing of the PSB focusing on areas of hydrological importance. TEEB study in the Coca watershed demonstrated a direct relationship between the conservation of native ecosystems, especially in areas of hydrological importance, and the generation of ecosystem services with a positive impact on the provision of water for hydroelectricity production, to supply around 30% of the national energy demand and around 40% of Quito´s population drinking water demand.</w:t>
      </w:r>
    </w:p>
    <w:p w14:paraId="434A50FD" w14:textId="77777777" w:rsidR="003C706E" w:rsidRPr="003C706E" w:rsidRDefault="003C706E" w:rsidP="003C706E">
      <w:pPr>
        <w:shd w:val="clear" w:color="auto" w:fill="FFFFFF"/>
        <w:spacing w:before="120"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For the new hydropower plants and other infrastructure projects in watersheds, the Environmental Impact Studies should </w:t>
      </w:r>
      <w:proofErr w:type="spellStart"/>
      <w:r w:rsidRPr="003C706E">
        <w:rPr>
          <w:rFonts w:ascii="Arial" w:eastAsia="Times New Roman" w:hAnsi="Arial" w:cs="Arial"/>
          <w:color w:val="333333"/>
          <w:sz w:val="18"/>
          <w:szCs w:val="18"/>
          <w:lang w:val="en-GB"/>
        </w:rPr>
        <w:t>analyze</w:t>
      </w:r>
      <w:proofErr w:type="spellEnd"/>
      <w:r w:rsidRPr="003C706E">
        <w:rPr>
          <w:rFonts w:ascii="Arial" w:eastAsia="Times New Roman" w:hAnsi="Arial" w:cs="Arial"/>
          <w:color w:val="333333"/>
          <w:sz w:val="18"/>
          <w:szCs w:val="18"/>
          <w:lang w:val="en-GB"/>
        </w:rPr>
        <w:t xml:space="preserve"> the impact of the new infrastructure on the ecosystem services, using a watershed approach and considering other projects at different stages of development. This analysis will allow the development of watershed conservation strategies, that could funded by different water users.</w:t>
      </w:r>
    </w:p>
    <w:p w14:paraId="1511DC12" w14:textId="77777777" w:rsidR="003C706E" w:rsidRPr="003C706E" w:rsidRDefault="003C706E" w:rsidP="003C706E">
      <w:pPr>
        <w:shd w:val="clear" w:color="auto" w:fill="FFFFFF"/>
        <w:spacing w:before="120"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 xml:space="preserve">The Salado and </w:t>
      </w:r>
      <w:proofErr w:type="spellStart"/>
      <w:r w:rsidRPr="003C706E">
        <w:rPr>
          <w:rFonts w:ascii="Arial" w:eastAsia="Times New Roman" w:hAnsi="Arial" w:cs="Arial"/>
          <w:color w:val="333333"/>
          <w:sz w:val="18"/>
          <w:szCs w:val="18"/>
          <w:lang w:val="en-GB"/>
        </w:rPr>
        <w:t>Cosanga</w:t>
      </w:r>
      <w:proofErr w:type="spellEnd"/>
      <w:r w:rsidRPr="003C706E">
        <w:rPr>
          <w:rFonts w:ascii="Arial" w:eastAsia="Times New Roman" w:hAnsi="Arial" w:cs="Arial"/>
          <w:color w:val="333333"/>
          <w:sz w:val="18"/>
          <w:szCs w:val="18"/>
          <w:lang w:val="en-GB"/>
        </w:rPr>
        <w:t xml:space="preserve"> micro watersheds located within the SNAP, are the most important ones for the provision of flow and sediment regulation services, needed for the CHCCS operation, so its conservation is a priority. The Ministry of Environment should encourage partnerships with water users as CELEC EP to promote control and monitoring activities and avoid land-use change, or propose a management agreement with the participation of local governments.</w:t>
      </w:r>
    </w:p>
    <w:p w14:paraId="69345011" w14:textId="77777777" w:rsidR="003C706E" w:rsidRPr="003C706E" w:rsidRDefault="003C706E" w:rsidP="003C706E">
      <w:pPr>
        <w:shd w:val="clear" w:color="auto" w:fill="FFFFFF"/>
        <w:spacing w:before="120" w:after="160"/>
        <w:jc w:val="both"/>
        <w:rPr>
          <w:rFonts w:ascii="Times New Roman" w:eastAsia="Times New Roman" w:hAnsi="Times New Roman" w:cs="Times New Roman"/>
          <w:lang w:val="en-GB"/>
        </w:rPr>
      </w:pPr>
      <w:r w:rsidRPr="003C706E">
        <w:rPr>
          <w:rFonts w:ascii="Arial" w:eastAsia="Times New Roman" w:hAnsi="Arial" w:cs="Arial"/>
          <w:color w:val="333333"/>
          <w:sz w:val="18"/>
          <w:szCs w:val="18"/>
          <w:lang w:val="en-GB"/>
        </w:rPr>
        <w:t>At local level, local governments could play a key role in the implementation of forest restoration activities in areas of hydrological importance within their territories, outside the SNAP, with local stakeholder’s participation, under the Ministry of Environment (MAE) and the Ministry of Agriculture, Livestock, Aquaculture and Fisheries (MAGAP) guidelines.</w:t>
      </w:r>
    </w:p>
    <w:p w14:paraId="16F0787E" w14:textId="77777777" w:rsidR="003C706E" w:rsidRPr="003C706E" w:rsidRDefault="003C706E" w:rsidP="003C706E">
      <w:pPr>
        <w:rPr>
          <w:rFonts w:ascii="Times New Roman" w:eastAsia="Times New Roman" w:hAnsi="Times New Roman" w:cs="Times New Roman"/>
          <w:lang w:val="en-GB"/>
        </w:rPr>
      </w:pPr>
    </w:p>
    <w:p w14:paraId="224B24DC" w14:textId="77777777" w:rsidR="003C706E" w:rsidRPr="003C706E" w:rsidRDefault="003C706E">
      <w:pPr>
        <w:rPr>
          <w:lang w:val="en-GB"/>
        </w:rPr>
      </w:pPr>
    </w:p>
    <w:sectPr w:rsidR="003C706E" w:rsidRPr="003C706E" w:rsidSect="000D10EF">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953B8" w14:textId="77777777" w:rsidR="006E086E" w:rsidRDefault="006E086E" w:rsidP="003C706E">
      <w:r>
        <w:separator/>
      </w:r>
    </w:p>
  </w:endnote>
  <w:endnote w:type="continuationSeparator" w:id="0">
    <w:p w14:paraId="5C427B80" w14:textId="77777777" w:rsidR="006E086E" w:rsidRDefault="006E086E" w:rsidP="003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A6AB7" w14:textId="77777777" w:rsidR="006E086E" w:rsidRDefault="006E086E" w:rsidP="003C706E">
      <w:r>
        <w:separator/>
      </w:r>
    </w:p>
  </w:footnote>
  <w:footnote w:type="continuationSeparator" w:id="0">
    <w:p w14:paraId="1A0761FC" w14:textId="77777777" w:rsidR="006E086E" w:rsidRDefault="006E086E" w:rsidP="003C706E">
      <w:r>
        <w:continuationSeparator/>
      </w:r>
    </w:p>
  </w:footnote>
  <w:footnote w:id="1">
    <w:p w14:paraId="187FA32C" w14:textId="77777777" w:rsidR="003C706E" w:rsidRPr="003C706E" w:rsidRDefault="003C706E" w:rsidP="003C706E">
      <w:pPr>
        <w:rPr>
          <w:rFonts w:ascii="Times New Roman" w:eastAsia="Times New Roman" w:hAnsi="Times New Roman" w:cs="Times New Roman"/>
          <w:lang w:val="it-IT"/>
        </w:rPr>
      </w:pPr>
      <w:r>
        <w:rPr>
          <w:rStyle w:val="FootnoteReference"/>
        </w:rPr>
        <w:footnoteRef/>
      </w:r>
      <w:r>
        <w:t xml:space="preserve"> </w:t>
      </w:r>
      <w:r w:rsidRPr="003C706E">
        <w:rPr>
          <w:rFonts w:ascii="Arial" w:eastAsia="Times New Roman" w:hAnsi="Arial" w:cs="Arial"/>
          <w:color w:val="333333"/>
          <w:sz w:val="16"/>
          <w:szCs w:val="16"/>
          <w:lang w:val="it-IT"/>
        </w:rPr>
        <w:t xml:space="preserve">To estimate the </w:t>
      </w:r>
      <w:proofErr w:type="spellStart"/>
      <w:r w:rsidRPr="003C706E">
        <w:rPr>
          <w:rFonts w:ascii="Arial" w:eastAsia="Times New Roman" w:hAnsi="Arial" w:cs="Arial"/>
          <w:color w:val="333333"/>
          <w:sz w:val="16"/>
          <w:szCs w:val="16"/>
          <w:lang w:val="it-IT"/>
        </w:rPr>
        <w:t>economic</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value</w:t>
      </w:r>
      <w:proofErr w:type="spellEnd"/>
      <w:r w:rsidRPr="003C706E">
        <w:rPr>
          <w:rFonts w:ascii="Arial" w:eastAsia="Times New Roman" w:hAnsi="Arial" w:cs="Arial"/>
          <w:color w:val="333333"/>
          <w:sz w:val="16"/>
          <w:szCs w:val="16"/>
          <w:lang w:val="it-IT"/>
        </w:rPr>
        <w:t xml:space="preserve"> of the water flow </w:t>
      </w:r>
      <w:proofErr w:type="spellStart"/>
      <w:r w:rsidRPr="003C706E">
        <w:rPr>
          <w:rFonts w:ascii="Arial" w:eastAsia="Times New Roman" w:hAnsi="Arial" w:cs="Arial"/>
          <w:color w:val="333333"/>
          <w:sz w:val="16"/>
          <w:szCs w:val="16"/>
          <w:lang w:val="it-IT"/>
        </w:rPr>
        <w:t>regulation</w:t>
      </w:r>
      <w:proofErr w:type="spellEnd"/>
      <w:r w:rsidRPr="003C706E">
        <w:rPr>
          <w:rFonts w:ascii="Arial" w:eastAsia="Times New Roman" w:hAnsi="Arial" w:cs="Arial"/>
          <w:color w:val="333333"/>
          <w:sz w:val="16"/>
          <w:szCs w:val="16"/>
          <w:lang w:val="it-IT"/>
        </w:rPr>
        <w:t xml:space="preserve"> service, </w:t>
      </w:r>
      <w:proofErr w:type="spellStart"/>
      <w:r w:rsidRPr="003C706E">
        <w:rPr>
          <w:rFonts w:ascii="Arial" w:eastAsia="Times New Roman" w:hAnsi="Arial" w:cs="Arial"/>
          <w:color w:val="333333"/>
          <w:sz w:val="16"/>
          <w:szCs w:val="16"/>
          <w:lang w:val="it-IT"/>
        </w:rPr>
        <w:t>biophysical</w:t>
      </w:r>
      <w:proofErr w:type="spellEnd"/>
      <w:r w:rsidRPr="003C706E">
        <w:rPr>
          <w:rFonts w:ascii="Arial" w:eastAsia="Times New Roman" w:hAnsi="Arial" w:cs="Arial"/>
          <w:color w:val="333333"/>
          <w:sz w:val="16"/>
          <w:szCs w:val="16"/>
          <w:lang w:val="it-IT"/>
        </w:rPr>
        <w:t xml:space="preserve"> data </w:t>
      </w:r>
      <w:proofErr w:type="spellStart"/>
      <w:r w:rsidRPr="003C706E">
        <w:rPr>
          <w:rFonts w:ascii="Arial" w:eastAsia="Times New Roman" w:hAnsi="Arial" w:cs="Arial"/>
          <w:color w:val="333333"/>
          <w:sz w:val="16"/>
          <w:szCs w:val="16"/>
          <w:lang w:val="it-IT"/>
        </w:rPr>
        <w:t>expressed</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as</w:t>
      </w:r>
      <w:proofErr w:type="spellEnd"/>
      <w:r w:rsidRPr="003C706E">
        <w:rPr>
          <w:rFonts w:ascii="Arial" w:eastAsia="Times New Roman" w:hAnsi="Arial" w:cs="Arial"/>
          <w:color w:val="333333"/>
          <w:sz w:val="16"/>
          <w:szCs w:val="16"/>
          <w:lang w:val="it-IT"/>
        </w:rPr>
        <w:t xml:space="preserve"> water flow (m</w:t>
      </w:r>
      <w:r w:rsidRPr="003C706E">
        <w:rPr>
          <w:rFonts w:ascii="Arial" w:eastAsia="Times New Roman" w:hAnsi="Arial" w:cs="Arial"/>
          <w:color w:val="333333"/>
          <w:sz w:val="10"/>
          <w:szCs w:val="10"/>
          <w:vertAlign w:val="superscript"/>
          <w:lang w:val="it-IT"/>
        </w:rPr>
        <w:t>3</w:t>
      </w:r>
      <w:r w:rsidRPr="003C706E">
        <w:rPr>
          <w:rFonts w:ascii="Arial" w:eastAsia="Times New Roman" w:hAnsi="Arial" w:cs="Arial"/>
          <w:color w:val="333333"/>
          <w:sz w:val="16"/>
          <w:szCs w:val="16"/>
          <w:lang w:val="it-IT"/>
        </w:rPr>
        <w:t xml:space="preserve">/s), </w:t>
      </w:r>
      <w:proofErr w:type="spellStart"/>
      <w:r w:rsidRPr="003C706E">
        <w:rPr>
          <w:rFonts w:ascii="Arial" w:eastAsia="Times New Roman" w:hAnsi="Arial" w:cs="Arial"/>
          <w:color w:val="333333"/>
          <w:sz w:val="16"/>
          <w:szCs w:val="16"/>
          <w:lang w:val="it-IT"/>
        </w:rPr>
        <w:t>was</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converted</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into</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annual</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energy</w:t>
      </w:r>
      <w:proofErr w:type="spellEnd"/>
      <w:r w:rsidRPr="003C706E">
        <w:rPr>
          <w:rFonts w:ascii="Arial" w:eastAsia="Times New Roman" w:hAnsi="Arial" w:cs="Arial"/>
          <w:color w:val="333333"/>
          <w:sz w:val="16"/>
          <w:szCs w:val="16"/>
          <w:lang w:val="it-IT"/>
        </w:rPr>
        <w:t xml:space="preserve"> production (kWh), </w:t>
      </w:r>
      <w:proofErr w:type="spellStart"/>
      <w:r w:rsidRPr="003C706E">
        <w:rPr>
          <w:rFonts w:ascii="Arial" w:eastAsia="Times New Roman" w:hAnsi="Arial" w:cs="Arial"/>
          <w:color w:val="333333"/>
          <w:sz w:val="16"/>
          <w:szCs w:val="16"/>
          <w:lang w:val="it-IT"/>
        </w:rPr>
        <w:t>which</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allowed</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estimates</w:t>
      </w:r>
      <w:proofErr w:type="spellEnd"/>
      <w:r w:rsidRPr="003C706E">
        <w:rPr>
          <w:rFonts w:ascii="Arial" w:eastAsia="Times New Roman" w:hAnsi="Arial" w:cs="Arial"/>
          <w:color w:val="333333"/>
          <w:sz w:val="16"/>
          <w:szCs w:val="16"/>
          <w:lang w:val="it-IT"/>
        </w:rPr>
        <w:t xml:space="preserve"> to be made of the CHCCS </w:t>
      </w:r>
      <w:proofErr w:type="spellStart"/>
      <w:r w:rsidRPr="003C706E">
        <w:rPr>
          <w:rFonts w:ascii="Arial" w:eastAsia="Times New Roman" w:hAnsi="Arial" w:cs="Arial"/>
          <w:color w:val="333333"/>
          <w:sz w:val="16"/>
          <w:szCs w:val="16"/>
          <w:lang w:val="it-IT"/>
        </w:rPr>
        <w:t>energy</w:t>
      </w:r>
      <w:proofErr w:type="spellEnd"/>
      <w:r w:rsidRPr="003C706E">
        <w:rPr>
          <w:rFonts w:ascii="Arial" w:eastAsia="Times New Roman" w:hAnsi="Arial" w:cs="Arial"/>
          <w:color w:val="333333"/>
          <w:sz w:val="16"/>
          <w:szCs w:val="16"/>
          <w:lang w:val="it-IT"/>
        </w:rPr>
        <w:t xml:space="preserve"> production </w:t>
      </w:r>
      <w:proofErr w:type="spellStart"/>
      <w:r w:rsidRPr="003C706E">
        <w:rPr>
          <w:rFonts w:ascii="Arial" w:eastAsia="Times New Roman" w:hAnsi="Arial" w:cs="Arial"/>
          <w:color w:val="333333"/>
          <w:sz w:val="16"/>
          <w:szCs w:val="16"/>
          <w:lang w:val="it-IT"/>
        </w:rPr>
        <w:t>revenues</w:t>
      </w:r>
      <w:proofErr w:type="spellEnd"/>
      <w:r w:rsidRPr="003C706E">
        <w:rPr>
          <w:rFonts w:ascii="Arial" w:eastAsia="Times New Roman" w:hAnsi="Arial" w:cs="Arial"/>
          <w:color w:val="333333"/>
          <w:sz w:val="16"/>
          <w:szCs w:val="16"/>
          <w:lang w:val="it-IT"/>
        </w:rPr>
        <w:t xml:space="preserve"> (USD/</w:t>
      </w:r>
      <w:proofErr w:type="spellStart"/>
      <w:r w:rsidRPr="003C706E">
        <w:rPr>
          <w:rFonts w:ascii="Arial" w:eastAsia="Times New Roman" w:hAnsi="Arial" w:cs="Arial"/>
          <w:color w:val="333333"/>
          <w:sz w:val="16"/>
          <w:szCs w:val="16"/>
          <w:lang w:val="it-IT"/>
        </w:rPr>
        <w:t>year</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using</w:t>
      </w:r>
      <w:proofErr w:type="spellEnd"/>
      <w:r w:rsidRPr="003C706E">
        <w:rPr>
          <w:rFonts w:ascii="Arial" w:eastAsia="Times New Roman" w:hAnsi="Arial" w:cs="Arial"/>
          <w:color w:val="333333"/>
          <w:sz w:val="16"/>
          <w:szCs w:val="16"/>
          <w:lang w:val="it-IT"/>
        </w:rPr>
        <w:t xml:space="preserve"> market </w:t>
      </w:r>
      <w:proofErr w:type="spellStart"/>
      <w:r w:rsidRPr="003C706E">
        <w:rPr>
          <w:rFonts w:ascii="Arial" w:eastAsia="Times New Roman" w:hAnsi="Arial" w:cs="Arial"/>
          <w:color w:val="333333"/>
          <w:sz w:val="16"/>
          <w:szCs w:val="16"/>
          <w:lang w:val="it-IT"/>
        </w:rPr>
        <w:t>prices</w:t>
      </w:r>
      <w:proofErr w:type="spellEnd"/>
      <w:r w:rsidRPr="003C706E">
        <w:rPr>
          <w:rFonts w:ascii="Arial" w:eastAsia="Times New Roman" w:hAnsi="Arial" w:cs="Arial"/>
          <w:color w:val="333333"/>
          <w:sz w:val="16"/>
          <w:szCs w:val="16"/>
          <w:lang w:val="it-IT"/>
        </w:rPr>
        <w:t>.</w:t>
      </w:r>
    </w:p>
  </w:footnote>
  <w:footnote w:id="2">
    <w:p w14:paraId="73A394F7" w14:textId="77777777" w:rsidR="003C706E" w:rsidRPr="003C706E" w:rsidRDefault="003C706E" w:rsidP="003C706E">
      <w:pPr>
        <w:rPr>
          <w:rFonts w:ascii="Times New Roman" w:eastAsia="Times New Roman" w:hAnsi="Times New Roman" w:cs="Times New Roman"/>
          <w:lang w:val="it-IT"/>
        </w:rPr>
      </w:pPr>
      <w:r>
        <w:rPr>
          <w:rStyle w:val="FootnoteReference"/>
        </w:rPr>
        <w:footnoteRef/>
      </w:r>
      <w:r>
        <w:t xml:space="preserve"> </w:t>
      </w:r>
      <w:r w:rsidRPr="003C706E">
        <w:rPr>
          <w:rFonts w:ascii="Arial" w:eastAsia="Times New Roman" w:hAnsi="Arial" w:cs="Arial"/>
          <w:color w:val="000000"/>
          <w:sz w:val="16"/>
          <w:szCs w:val="16"/>
          <w:lang w:val="it-IT"/>
        </w:rPr>
        <w:t xml:space="preserve"> </w:t>
      </w:r>
      <w:r w:rsidRPr="003C706E">
        <w:rPr>
          <w:rFonts w:ascii="Arial" w:eastAsia="Times New Roman" w:hAnsi="Arial" w:cs="Arial"/>
          <w:color w:val="333333"/>
          <w:sz w:val="16"/>
          <w:szCs w:val="16"/>
          <w:lang w:val="it-IT"/>
        </w:rPr>
        <w:t xml:space="preserve">To </w:t>
      </w:r>
      <w:proofErr w:type="spellStart"/>
      <w:r w:rsidRPr="003C706E">
        <w:rPr>
          <w:rFonts w:ascii="Arial" w:eastAsia="Times New Roman" w:hAnsi="Arial" w:cs="Arial"/>
          <w:color w:val="333333"/>
          <w:sz w:val="16"/>
          <w:szCs w:val="16"/>
          <w:lang w:val="it-IT"/>
        </w:rPr>
        <w:t>carry</w:t>
      </w:r>
      <w:proofErr w:type="spellEnd"/>
      <w:r w:rsidRPr="003C706E">
        <w:rPr>
          <w:rFonts w:ascii="Arial" w:eastAsia="Times New Roman" w:hAnsi="Arial" w:cs="Arial"/>
          <w:color w:val="333333"/>
          <w:sz w:val="16"/>
          <w:szCs w:val="16"/>
          <w:lang w:val="it-IT"/>
        </w:rPr>
        <w:t xml:space="preserve"> out the </w:t>
      </w:r>
      <w:proofErr w:type="spellStart"/>
      <w:r w:rsidRPr="003C706E">
        <w:rPr>
          <w:rFonts w:ascii="Arial" w:eastAsia="Times New Roman" w:hAnsi="Arial" w:cs="Arial"/>
          <w:color w:val="333333"/>
          <w:sz w:val="16"/>
          <w:szCs w:val="16"/>
          <w:lang w:val="it-IT"/>
        </w:rPr>
        <w:t>monetary</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valuation</w:t>
      </w:r>
      <w:proofErr w:type="spellEnd"/>
      <w:r w:rsidRPr="003C706E">
        <w:rPr>
          <w:rFonts w:ascii="Arial" w:eastAsia="Times New Roman" w:hAnsi="Arial" w:cs="Arial"/>
          <w:color w:val="333333"/>
          <w:sz w:val="16"/>
          <w:szCs w:val="16"/>
          <w:lang w:val="it-IT"/>
        </w:rPr>
        <w:t xml:space="preserve"> of the </w:t>
      </w:r>
      <w:proofErr w:type="spellStart"/>
      <w:r w:rsidRPr="003C706E">
        <w:rPr>
          <w:rFonts w:ascii="Arial" w:eastAsia="Times New Roman" w:hAnsi="Arial" w:cs="Arial"/>
          <w:color w:val="333333"/>
          <w:sz w:val="16"/>
          <w:szCs w:val="16"/>
          <w:lang w:val="it-IT"/>
        </w:rPr>
        <w:t>sediment</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regulation</w:t>
      </w:r>
      <w:proofErr w:type="spellEnd"/>
      <w:r w:rsidRPr="003C706E">
        <w:rPr>
          <w:rFonts w:ascii="Arial" w:eastAsia="Times New Roman" w:hAnsi="Arial" w:cs="Arial"/>
          <w:color w:val="333333"/>
          <w:sz w:val="16"/>
          <w:szCs w:val="16"/>
          <w:lang w:val="it-IT"/>
        </w:rPr>
        <w:t xml:space="preserve"> service, the </w:t>
      </w:r>
      <w:proofErr w:type="spellStart"/>
      <w:r w:rsidRPr="003C706E">
        <w:rPr>
          <w:rFonts w:ascii="Arial" w:eastAsia="Times New Roman" w:hAnsi="Arial" w:cs="Arial"/>
          <w:color w:val="333333"/>
          <w:sz w:val="16"/>
          <w:szCs w:val="16"/>
          <w:lang w:val="it-IT"/>
        </w:rPr>
        <w:t>biophysical</w:t>
      </w:r>
      <w:proofErr w:type="spellEnd"/>
      <w:r w:rsidRPr="003C706E">
        <w:rPr>
          <w:rFonts w:ascii="Arial" w:eastAsia="Times New Roman" w:hAnsi="Arial" w:cs="Arial"/>
          <w:color w:val="333333"/>
          <w:sz w:val="16"/>
          <w:szCs w:val="16"/>
          <w:lang w:val="it-IT"/>
        </w:rPr>
        <w:t xml:space="preserve"> data </w:t>
      </w:r>
      <w:proofErr w:type="spellStart"/>
      <w:r w:rsidRPr="003C706E">
        <w:rPr>
          <w:rFonts w:ascii="Arial" w:eastAsia="Times New Roman" w:hAnsi="Arial" w:cs="Arial"/>
          <w:color w:val="333333"/>
          <w:sz w:val="16"/>
          <w:szCs w:val="16"/>
          <w:lang w:val="it-IT"/>
        </w:rPr>
        <w:t>expressed</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as</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sediment</w:t>
      </w:r>
      <w:proofErr w:type="spellEnd"/>
      <w:r w:rsidRPr="003C706E">
        <w:rPr>
          <w:rFonts w:ascii="Arial" w:eastAsia="Times New Roman" w:hAnsi="Arial" w:cs="Arial"/>
          <w:color w:val="333333"/>
          <w:sz w:val="16"/>
          <w:szCs w:val="16"/>
          <w:lang w:val="it-IT"/>
        </w:rPr>
        <w:t xml:space="preserve"> production (ton/</w:t>
      </w:r>
      <w:proofErr w:type="spellStart"/>
      <w:r w:rsidRPr="003C706E">
        <w:rPr>
          <w:rFonts w:ascii="Arial" w:eastAsia="Times New Roman" w:hAnsi="Arial" w:cs="Arial"/>
          <w:color w:val="333333"/>
          <w:sz w:val="16"/>
          <w:szCs w:val="16"/>
          <w:lang w:val="it-IT"/>
        </w:rPr>
        <w:t>year</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was</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converted</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into</w:t>
      </w:r>
      <w:proofErr w:type="spellEnd"/>
      <w:r w:rsidRPr="003C706E">
        <w:rPr>
          <w:rFonts w:ascii="Arial" w:eastAsia="Times New Roman" w:hAnsi="Arial" w:cs="Arial"/>
          <w:color w:val="333333"/>
          <w:sz w:val="16"/>
          <w:szCs w:val="16"/>
          <w:lang w:val="it-IT"/>
        </w:rPr>
        <w:t xml:space="preserve"> volume of </w:t>
      </w:r>
      <w:proofErr w:type="spellStart"/>
      <w:r w:rsidRPr="003C706E">
        <w:rPr>
          <w:rFonts w:ascii="Arial" w:eastAsia="Times New Roman" w:hAnsi="Arial" w:cs="Arial"/>
          <w:color w:val="333333"/>
          <w:sz w:val="16"/>
          <w:szCs w:val="16"/>
          <w:lang w:val="it-IT"/>
        </w:rPr>
        <w:t>solids</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retained</w:t>
      </w:r>
      <w:proofErr w:type="spellEnd"/>
      <w:r w:rsidRPr="003C706E">
        <w:rPr>
          <w:rFonts w:ascii="Arial" w:eastAsia="Times New Roman" w:hAnsi="Arial" w:cs="Arial"/>
          <w:color w:val="333333"/>
          <w:sz w:val="16"/>
          <w:szCs w:val="16"/>
          <w:lang w:val="it-IT"/>
        </w:rPr>
        <w:t xml:space="preserve"> in the CHCCS </w:t>
      </w:r>
      <w:proofErr w:type="spellStart"/>
      <w:r w:rsidRPr="003C706E">
        <w:rPr>
          <w:rFonts w:ascii="Arial" w:eastAsia="Times New Roman" w:hAnsi="Arial" w:cs="Arial"/>
          <w:color w:val="333333"/>
          <w:sz w:val="16"/>
          <w:szCs w:val="16"/>
          <w:lang w:val="it-IT"/>
        </w:rPr>
        <w:t>reservoir</w:t>
      </w:r>
      <w:proofErr w:type="spellEnd"/>
      <w:r w:rsidRPr="003C706E">
        <w:rPr>
          <w:rFonts w:ascii="Arial" w:eastAsia="Times New Roman" w:hAnsi="Arial" w:cs="Arial"/>
          <w:color w:val="333333"/>
          <w:sz w:val="16"/>
          <w:szCs w:val="16"/>
          <w:lang w:val="it-IT"/>
        </w:rPr>
        <w:t xml:space="preserve"> (kg/m</w:t>
      </w:r>
      <w:r w:rsidRPr="003C706E">
        <w:rPr>
          <w:rFonts w:ascii="Arial" w:eastAsia="Times New Roman" w:hAnsi="Arial" w:cs="Arial"/>
          <w:color w:val="333333"/>
          <w:sz w:val="10"/>
          <w:szCs w:val="10"/>
          <w:vertAlign w:val="superscript"/>
          <w:lang w:val="it-IT"/>
        </w:rPr>
        <w:t>3</w:t>
      </w:r>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This</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allowed</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estimates</w:t>
      </w:r>
      <w:proofErr w:type="spellEnd"/>
      <w:r w:rsidRPr="003C706E">
        <w:rPr>
          <w:rFonts w:ascii="Arial" w:eastAsia="Times New Roman" w:hAnsi="Arial" w:cs="Arial"/>
          <w:color w:val="333333"/>
          <w:sz w:val="16"/>
          <w:szCs w:val="16"/>
          <w:lang w:val="it-IT"/>
        </w:rPr>
        <w:t xml:space="preserve"> to be made of the </w:t>
      </w:r>
      <w:proofErr w:type="spellStart"/>
      <w:r w:rsidRPr="003C706E">
        <w:rPr>
          <w:rFonts w:ascii="Arial" w:eastAsia="Times New Roman" w:hAnsi="Arial" w:cs="Arial"/>
          <w:color w:val="333333"/>
          <w:sz w:val="16"/>
          <w:szCs w:val="16"/>
          <w:lang w:val="it-IT"/>
        </w:rPr>
        <w:t>accumulation</w:t>
      </w:r>
      <w:proofErr w:type="spellEnd"/>
      <w:r w:rsidRPr="003C706E">
        <w:rPr>
          <w:rFonts w:ascii="Arial" w:eastAsia="Times New Roman" w:hAnsi="Arial" w:cs="Arial"/>
          <w:color w:val="333333"/>
          <w:sz w:val="16"/>
          <w:szCs w:val="16"/>
          <w:lang w:val="it-IT"/>
        </w:rPr>
        <w:t xml:space="preserve"> of </w:t>
      </w:r>
      <w:proofErr w:type="spellStart"/>
      <w:r w:rsidRPr="003C706E">
        <w:rPr>
          <w:rFonts w:ascii="Arial" w:eastAsia="Times New Roman" w:hAnsi="Arial" w:cs="Arial"/>
          <w:color w:val="333333"/>
          <w:sz w:val="16"/>
          <w:szCs w:val="16"/>
          <w:lang w:val="it-IT"/>
        </w:rPr>
        <w:t>sediment</w:t>
      </w:r>
      <w:proofErr w:type="spellEnd"/>
      <w:r w:rsidRPr="003C706E">
        <w:rPr>
          <w:rFonts w:ascii="Arial" w:eastAsia="Times New Roman" w:hAnsi="Arial" w:cs="Arial"/>
          <w:color w:val="333333"/>
          <w:sz w:val="16"/>
          <w:szCs w:val="16"/>
          <w:lang w:val="it-IT"/>
        </w:rPr>
        <w:t xml:space="preserve"> in the </w:t>
      </w:r>
      <w:proofErr w:type="spellStart"/>
      <w:r w:rsidRPr="003C706E">
        <w:rPr>
          <w:rFonts w:ascii="Arial" w:eastAsia="Times New Roman" w:hAnsi="Arial" w:cs="Arial"/>
          <w:color w:val="333333"/>
          <w:sz w:val="16"/>
          <w:szCs w:val="16"/>
          <w:lang w:val="it-IT"/>
        </w:rPr>
        <w:t>reservoir</w:t>
      </w:r>
      <w:proofErr w:type="spellEnd"/>
      <w:r w:rsidRPr="003C706E">
        <w:rPr>
          <w:rFonts w:ascii="Arial" w:eastAsia="Times New Roman" w:hAnsi="Arial" w:cs="Arial"/>
          <w:color w:val="333333"/>
          <w:sz w:val="16"/>
          <w:szCs w:val="16"/>
          <w:lang w:val="it-IT"/>
        </w:rPr>
        <w:t xml:space="preserve"> and </w:t>
      </w:r>
      <w:proofErr w:type="spellStart"/>
      <w:r w:rsidRPr="003C706E">
        <w:rPr>
          <w:rFonts w:ascii="Arial" w:eastAsia="Times New Roman" w:hAnsi="Arial" w:cs="Arial"/>
          <w:color w:val="333333"/>
          <w:sz w:val="16"/>
          <w:szCs w:val="16"/>
          <w:lang w:val="it-IT"/>
        </w:rPr>
        <w:t>its</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removal</w:t>
      </w:r>
      <w:proofErr w:type="spellEnd"/>
      <w:r w:rsidRPr="003C706E">
        <w:rPr>
          <w:rFonts w:ascii="Arial" w:eastAsia="Times New Roman" w:hAnsi="Arial" w:cs="Arial"/>
          <w:color w:val="333333"/>
          <w:sz w:val="16"/>
          <w:szCs w:val="16"/>
          <w:lang w:val="it-IT"/>
        </w:rPr>
        <w:t xml:space="preserve"> </w:t>
      </w:r>
      <w:proofErr w:type="spellStart"/>
      <w:r w:rsidRPr="003C706E">
        <w:rPr>
          <w:rFonts w:ascii="Arial" w:eastAsia="Times New Roman" w:hAnsi="Arial" w:cs="Arial"/>
          <w:color w:val="333333"/>
          <w:sz w:val="16"/>
          <w:szCs w:val="16"/>
          <w:lang w:val="it-IT"/>
        </w:rPr>
        <w:t>cost</w:t>
      </w:r>
      <w:proofErr w:type="spellEnd"/>
      <w:r w:rsidRPr="003C706E">
        <w:rPr>
          <w:rFonts w:ascii="Arial" w:eastAsia="Times New Roman" w:hAnsi="Arial" w:cs="Arial"/>
          <w:color w:val="333333"/>
          <w:sz w:val="16"/>
          <w:szCs w:val="16"/>
          <w:lang w:val="it-I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it-IT" w:vendorID="64" w:dllVersion="4096" w:nlCheck="1" w:checkStyle="0"/>
  <w:activeWritingStyle w:appName="MSWord" w:lang="en-GB" w:vendorID="64" w:dllVersion="6" w:nlCheck="1" w:checkStyle="0"/>
  <w:activeWritingStyle w:appName="MSWord" w:lang="it-IT"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0"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6E"/>
    <w:rsid w:val="000349F1"/>
    <w:rsid w:val="000C21B9"/>
    <w:rsid w:val="000D10EF"/>
    <w:rsid w:val="000D4C32"/>
    <w:rsid w:val="0010240B"/>
    <w:rsid w:val="00143EDC"/>
    <w:rsid w:val="001704B4"/>
    <w:rsid w:val="001979A1"/>
    <w:rsid w:val="001B7906"/>
    <w:rsid w:val="002252E7"/>
    <w:rsid w:val="00274FBE"/>
    <w:rsid w:val="002A1C0B"/>
    <w:rsid w:val="0032785C"/>
    <w:rsid w:val="00327D01"/>
    <w:rsid w:val="003639AC"/>
    <w:rsid w:val="003C706E"/>
    <w:rsid w:val="003E5F34"/>
    <w:rsid w:val="003F4369"/>
    <w:rsid w:val="00420AE6"/>
    <w:rsid w:val="004545E8"/>
    <w:rsid w:val="004C745D"/>
    <w:rsid w:val="00512276"/>
    <w:rsid w:val="00512E88"/>
    <w:rsid w:val="00521D9D"/>
    <w:rsid w:val="005D01B2"/>
    <w:rsid w:val="005D3830"/>
    <w:rsid w:val="006001B2"/>
    <w:rsid w:val="00601A4A"/>
    <w:rsid w:val="006A05F8"/>
    <w:rsid w:val="006E086E"/>
    <w:rsid w:val="007049C7"/>
    <w:rsid w:val="00733EE3"/>
    <w:rsid w:val="00827C0E"/>
    <w:rsid w:val="008B0892"/>
    <w:rsid w:val="00995DF4"/>
    <w:rsid w:val="00A572FB"/>
    <w:rsid w:val="00B42882"/>
    <w:rsid w:val="00B66CBC"/>
    <w:rsid w:val="00B906AC"/>
    <w:rsid w:val="00BC40FA"/>
    <w:rsid w:val="00BF064C"/>
    <w:rsid w:val="00C01321"/>
    <w:rsid w:val="00CE3DCD"/>
    <w:rsid w:val="00D1599B"/>
    <w:rsid w:val="00D717B2"/>
    <w:rsid w:val="00DD046A"/>
    <w:rsid w:val="00DE4599"/>
    <w:rsid w:val="00E80509"/>
    <w:rsid w:val="00EA3FD1"/>
    <w:rsid w:val="00ED5210"/>
    <w:rsid w:val="00F16A2A"/>
    <w:rsid w:val="00FA77A2"/>
    <w:rsid w:val="00FB2E65"/>
    <w:rsid w:val="00FD289D"/>
    <w:rsid w:val="00FE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E94F"/>
  <w14:defaultImageDpi w14:val="32767"/>
  <w15:chartTrackingRefBased/>
  <w15:docId w15:val="{FFBB3B7C-C2ED-7840-9D33-FAF6744F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C706E"/>
    <w:pPr>
      <w:spacing w:before="100" w:beforeAutospacing="1" w:after="100" w:afterAutospacing="1"/>
      <w:outlineLvl w:val="3"/>
    </w:pPr>
    <w:rPr>
      <w:rFonts w:ascii="Times New Roman" w:eastAsia="Times New Roman" w:hAnsi="Times New Roman" w:cs="Times New Roman"/>
      <w:b/>
      <w:bCs/>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06E"/>
    <w:pPr>
      <w:spacing w:before="100" w:beforeAutospacing="1" w:after="100" w:afterAutospacing="1"/>
    </w:pPr>
    <w:rPr>
      <w:rFonts w:ascii="Times New Roman" w:eastAsia="Times New Roman" w:hAnsi="Times New Roman" w:cs="Times New Roman"/>
      <w:lang w:val="it-IT"/>
    </w:rPr>
  </w:style>
  <w:style w:type="character" w:styleId="Hyperlink">
    <w:name w:val="Hyperlink"/>
    <w:basedOn w:val="DefaultParagraphFont"/>
    <w:uiPriority w:val="99"/>
    <w:semiHidden/>
    <w:unhideWhenUsed/>
    <w:rsid w:val="003C706E"/>
    <w:rPr>
      <w:color w:val="0000FF"/>
      <w:u w:val="single"/>
    </w:rPr>
  </w:style>
  <w:style w:type="character" w:customStyle="1" w:styleId="Heading4Char">
    <w:name w:val="Heading 4 Char"/>
    <w:basedOn w:val="DefaultParagraphFont"/>
    <w:link w:val="Heading4"/>
    <w:uiPriority w:val="9"/>
    <w:rsid w:val="003C706E"/>
    <w:rPr>
      <w:rFonts w:ascii="Times New Roman" w:eastAsia="Times New Roman" w:hAnsi="Times New Roman" w:cs="Times New Roman"/>
      <w:b/>
      <w:bCs/>
      <w:lang w:val="it-IT"/>
    </w:rPr>
  </w:style>
  <w:style w:type="paragraph" w:styleId="FootnoteText">
    <w:name w:val="footnote text"/>
    <w:basedOn w:val="Normal"/>
    <w:link w:val="FootnoteTextChar"/>
    <w:uiPriority w:val="99"/>
    <w:semiHidden/>
    <w:unhideWhenUsed/>
    <w:rsid w:val="003C706E"/>
    <w:rPr>
      <w:sz w:val="20"/>
      <w:szCs w:val="20"/>
    </w:rPr>
  </w:style>
  <w:style w:type="character" w:customStyle="1" w:styleId="FootnoteTextChar">
    <w:name w:val="Footnote Text Char"/>
    <w:basedOn w:val="DefaultParagraphFont"/>
    <w:link w:val="FootnoteText"/>
    <w:uiPriority w:val="99"/>
    <w:semiHidden/>
    <w:rsid w:val="003C706E"/>
    <w:rPr>
      <w:sz w:val="20"/>
      <w:szCs w:val="20"/>
    </w:rPr>
  </w:style>
  <w:style w:type="character" w:styleId="FootnoteReference">
    <w:name w:val="footnote reference"/>
    <w:basedOn w:val="DefaultParagraphFont"/>
    <w:uiPriority w:val="99"/>
    <w:semiHidden/>
    <w:unhideWhenUsed/>
    <w:rsid w:val="003C706E"/>
    <w:rPr>
      <w:vertAlign w:val="superscript"/>
    </w:rPr>
  </w:style>
  <w:style w:type="character" w:styleId="CommentReference">
    <w:name w:val="annotation reference"/>
    <w:basedOn w:val="DefaultParagraphFont"/>
    <w:uiPriority w:val="99"/>
    <w:semiHidden/>
    <w:unhideWhenUsed/>
    <w:rsid w:val="00827C0E"/>
    <w:rPr>
      <w:sz w:val="18"/>
      <w:szCs w:val="18"/>
    </w:rPr>
  </w:style>
  <w:style w:type="paragraph" w:styleId="CommentText">
    <w:name w:val="annotation text"/>
    <w:basedOn w:val="Normal"/>
    <w:link w:val="CommentTextChar"/>
    <w:uiPriority w:val="99"/>
    <w:semiHidden/>
    <w:unhideWhenUsed/>
    <w:rsid w:val="00827C0E"/>
  </w:style>
  <w:style w:type="character" w:customStyle="1" w:styleId="CommentTextChar">
    <w:name w:val="Comment Text Char"/>
    <w:basedOn w:val="DefaultParagraphFont"/>
    <w:link w:val="CommentText"/>
    <w:uiPriority w:val="99"/>
    <w:semiHidden/>
    <w:rsid w:val="00827C0E"/>
  </w:style>
  <w:style w:type="paragraph" w:styleId="CommentSubject">
    <w:name w:val="annotation subject"/>
    <w:basedOn w:val="CommentText"/>
    <w:next w:val="CommentText"/>
    <w:link w:val="CommentSubjectChar"/>
    <w:uiPriority w:val="99"/>
    <w:semiHidden/>
    <w:unhideWhenUsed/>
    <w:rsid w:val="00827C0E"/>
    <w:rPr>
      <w:b/>
      <w:bCs/>
      <w:sz w:val="20"/>
      <w:szCs w:val="20"/>
    </w:rPr>
  </w:style>
  <w:style w:type="character" w:customStyle="1" w:styleId="CommentSubjectChar">
    <w:name w:val="Comment Subject Char"/>
    <w:basedOn w:val="CommentTextChar"/>
    <w:link w:val="CommentSubject"/>
    <w:uiPriority w:val="99"/>
    <w:semiHidden/>
    <w:rsid w:val="00827C0E"/>
    <w:rPr>
      <w:b/>
      <w:bCs/>
      <w:sz w:val="20"/>
      <w:szCs w:val="20"/>
    </w:rPr>
  </w:style>
  <w:style w:type="paragraph" w:styleId="BalloonText">
    <w:name w:val="Balloon Text"/>
    <w:basedOn w:val="Normal"/>
    <w:link w:val="BalloonTextChar"/>
    <w:uiPriority w:val="99"/>
    <w:semiHidden/>
    <w:unhideWhenUsed/>
    <w:rsid w:val="00827C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C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1906">
      <w:bodyDiv w:val="1"/>
      <w:marLeft w:val="0"/>
      <w:marRight w:val="0"/>
      <w:marTop w:val="0"/>
      <w:marBottom w:val="0"/>
      <w:divBdr>
        <w:top w:val="none" w:sz="0" w:space="0" w:color="auto"/>
        <w:left w:val="none" w:sz="0" w:space="0" w:color="auto"/>
        <w:bottom w:val="none" w:sz="0" w:space="0" w:color="auto"/>
        <w:right w:val="none" w:sz="0" w:space="0" w:color="auto"/>
      </w:divBdr>
      <w:divsChild>
        <w:div w:id="896818179">
          <w:marLeft w:val="0"/>
          <w:marRight w:val="0"/>
          <w:marTop w:val="0"/>
          <w:marBottom w:val="0"/>
          <w:divBdr>
            <w:top w:val="none" w:sz="0" w:space="0" w:color="auto"/>
            <w:left w:val="none" w:sz="0" w:space="0" w:color="auto"/>
            <w:bottom w:val="none" w:sz="0" w:space="0" w:color="auto"/>
            <w:right w:val="none" w:sz="0" w:space="0" w:color="auto"/>
          </w:divBdr>
        </w:div>
      </w:divsChild>
    </w:div>
    <w:div w:id="238515190">
      <w:bodyDiv w:val="1"/>
      <w:marLeft w:val="0"/>
      <w:marRight w:val="0"/>
      <w:marTop w:val="0"/>
      <w:marBottom w:val="0"/>
      <w:divBdr>
        <w:top w:val="none" w:sz="0" w:space="0" w:color="auto"/>
        <w:left w:val="none" w:sz="0" w:space="0" w:color="auto"/>
        <w:bottom w:val="none" w:sz="0" w:space="0" w:color="auto"/>
        <w:right w:val="none" w:sz="0" w:space="0" w:color="auto"/>
      </w:divBdr>
    </w:div>
    <w:div w:id="272593948">
      <w:bodyDiv w:val="1"/>
      <w:marLeft w:val="0"/>
      <w:marRight w:val="0"/>
      <w:marTop w:val="0"/>
      <w:marBottom w:val="0"/>
      <w:divBdr>
        <w:top w:val="none" w:sz="0" w:space="0" w:color="auto"/>
        <w:left w:val="none" w:sz="0" w:space="0" w:color="auto"/>
        <w:bottom w:val="none" w:sz="0" w:space="0" w:color="auto"/>
        <w:right w:val="none" w:sz="0" w:space="0" w:color="auto"/>
      </w:divBdr>
    </w:div>
    <w:div w:id="309409771">
      <w:bodyDiv w:val="1"/>
      <w:marLeft w:val="0"/>
      <w:marRight w:val="0"/>
      <w:marTop w:val="0"/>
      <w:marBottom w:val="0"/>
      <w:divBdr>
        <w:top w:val="none" w:sz="0" w:space="0" w:color="auto"/>
        <w:left w:val="none" w:sz="0" w:space="0" w:color="auto"/>
        <w:bottom w:val="none" w:sz="0" w:space="0" w:color="auto"/>
        <w:right w:val="none" w:sz="0" w:space="0" w:color="auto"/>
      </w:divBdr>
    </w:div>
    <w:div w:id="321012857">
      <w:bodyDiv w:val="1"/>
      <w:marLeft w:val="0"/>
      <w:marRight w:val="0"/>
      <w:marTop w:val="0"/>
      <w:marBottom w:val="0"/>
      <w:divBdr>
        <w:top w:val="none" w:sz="0" w:space="0" w:color="auto"/>
        <w:left w:val="none" w:sz="0" w:space="0" w:color="auto"/>
        <w:bottom w:val="none" w:sz="0" w:space="0" w:color="auto"/>
        <w:right w:val="none" w:sz="0" w:space="0" w:color="auto"/>
      </w:divBdr>
    </w:div>
    <w:div w:id="344288926">
      <w:bodyDiv w:val="1"/>
      <w:marLeft w:val="0"/>
      <w:marRight w:val="0"/>
      <w:marTop w:val="0"/>
      <w:marBottom w:val="0"/>
      <w:divBdr>
        <w:top w:val="none" w:sz="0" w:space="0" w:color="auto"/>
        <w:left w:val="none" w:sz="0" w:space="0" w:color="auto"/>
        <w:bottom w:val="none" w:sz="0" w:space="0" w:color="auto"/>
        <w:right w:val="none" w:sz="0" w:space="0" w:color="auto"/>
      </w:divBdr>
    </w:div>
    <w:div w:id="486215367">
      <w:bodyDiv w:val="1"/>
      <w:marLeft w:val="0"/>
      <w:marRight w:val="0"/>
      <w:marTop w:val="0"/>
      <w:marBottom w:val="0"/>
      <w:divBdr>
        <w:top w:val="none" w:sz="0" w:space="0" w:color="auto"/>
        <w:left w:val="none" w:sz="0" w:space="0" w:color="auto"/>
        <w:bottom w:val="none" w:sz="0" w:space="0" w:color="auto"/>
        <w:right w:val="none" w:sz="0" w:space="0" w:color="auto"/>
      </w:divBdr>
    </w:div>
    <w:div w:id="765075589">
      <w:bodyDiv w:val="1"/>
      <w:marLeft w:val="0"/>
      <w:marRight w:val="0"/>
      <w:marTop w:val="0"/>
      <w:marBottom w:val="0"/>
      <w:divBdr>
        <w:top w:val="none" w:sz="0" w:space="0" w:color="auto"/>
        <w:left w:val="none" w:sz="0" w:space="0" w:color="auto"/>
        <w:bottom w:val="none" w:sz="0" w:space="0" w:color="auto"/>
        <w:right w:val="none" w:sz="0" w:space="0" w:color="auto"/>
      </w:divBdr>
    </w:div>
    <w:div w:id="785612494">
      <w:bodyDiv w:val="1"/>
      <w:marLeft w:val="0"/>
      <w:marRight w:val="0"/>
      <w:marTop w:val="0"/>
      <w:marBottom w:val="0"/>
      <w:divBdr>
        <w:top w:val="none" w:sz="0" w:space="0" w:color="auto"/>
        <w:left w:val="none" w:sz="0" w:space="0" w:color="auto"/>
        <w:bottom w:val="none" w:sz="0" w:space="0" w:color="auto"/>
        <w:right w:val="none" w:sz="0" w:space="0" w:color="auto"/>
      </w:divBdr>
    </w:div>
    <w:div w:id="821000655">
      <w:bodyDiv w:val="1"/>
      <w:marLeft w:val="0"/>
      <w:marRight w:val="0"/>
      <w:marTop w:val="0"/>
      <w:marBottom w:val="0"/>
      <w:divBdr>
        <w:top w:val="none" w:sz="0" w:space="0" w:color="auto"/>
        <w:left w:val="none" w:sz="0" w:space="0" w:color="auto"/>
        <w:bottom w:val="none" w:sz="0" w:space="0" w:color="auto"/>
        <w:right w:val="none" w:sz="0" w:space="0" w:color="auto"/>
      </w:divBdr>
    </w:div>
    <w:div w:id="901212029">
      <w:bodyDiv w:val="1"/>
      <w:marLeft w:val="0"/>
      <w:marRight w:val="0"/>
      <w:marTop w:val="0"/>
      <w:marBottom w:val="0"/>
      <w:divBdr>
        <w:top w:val="none" w:sz="0" w:space="0" w:color="auto"/>
        <w:left w:val="none" w:sz="0" w:space="0" w:color="auto"/>
        <w:bottom w:val="none" w:sz="0" w:space="0" w:color="auto"/>
        <w:right w:val="none" w:sz="0" w:space="0" w:color="auto"/>
      </w:divBdr>
    </w:div>
    <w:div w:id="954404944">
      <w:bodyDiv w:val="1"/>
      <w:marLeft w:val="0"/>
      <w:marRight w:val="0"/>
      <w:marTop w:val="0"/>
      <w:marBottom w:val="0"/>
      <w:divBdr>
        <w:top w:val="none" w:sz="0" w:space="0" w:color="auto"/>
        <w:left w:val="none" w:sz="0" w:space="0" w:color="auto"/>
        <w:bottom w:val="none" w:sz="0" w:space="0" w:color="auto"/>
        <w:right w:val="none" w:sz="0" w:space="0" w:color="auto"/>
      </w:divBdr>
    </w:div>
    <w:div w:id="1099447144">
      <w:bodyDiv w:val="1"/>
      <w:marLeft w:val="0"/>
      <w:marRight w:val="0"/>
      <w:marTop w:val="0"/>
      <w:marBottom w:val="0"/>
      <w:divBdr>
        <w:top w:val="none" w:sz="0" w:space="0" w:color="auto"/>
        <w:left w:val="none" w:sz="0" w:space="0" w:color="auto"/>
        <w:bottom w:val="none" w:sz="0" w:space="0" w:color="auto"/>
        <w:right w:val="none" w:sz="0" w:space="0" w:color="auto"/>
      </w:divBdr>
    </w:div>
    <w:div w:id="1132944067">
      <w:bodyDiv w:val="1"/>
      <w:marLeft w:val="0"/>
      <w:marRight w:val="0"/>
      <w:marTop w:val="0"/>
      <w:marBottom w:val="0"/>
      <w:divBdr>
        <w:top w:val="none" w:sz="0" w:space="0" w:color="auto"/>
        <w:left w:val="none" w:sz="0" w:space="0" w:color="auto"/>
        <w:bottom w:val="none" w:sz="0" w:space="0" w:color="auto"/>
        <w:right w:val="none" w:sz="0" w:space="0" w:color="auto"/>
      </w:divBdr>
    </w:div>
    <w:div w:id="1286548407">
      <w:bodyDiv w:val="1"/>
      <w:marLeft w:val="0"/>
      <w:marRight w:val="0"/>
      <w:marTop w:val="0"/>
      <w:marBottom w:val="0"/>
      <w:divBdr>
        <w:top w:val="none" w:sz="0" w:space="0" w:color="auto"/>
        <w:left w:val="none" w:sz="0" w:space="0" w:color="auto"/>
        <w:bottom w:val="none" w:sz="0" w:space="0" w:color="auto"/>
        <w:right w:val="none" w:sz="0" w:space="0" w:color="auto"/>
      </w:divBdr>
    </w:div>
    <w:div w:id="1297105662">
      <w:bodyDiv w:val="1"/>
      <w:marLeft w:val="0"/>
      <w:marRight w:val="0"/>
      <w:marTop w:val="0"/>
      <w:marBottom w:val="0"/>
      <w:divBdr>
        <w:top w:val="none" w:sz="0" w:space="0" w:color="auto"/>
        <w:left w:val="none" w:sz="0" w:space="0" w:color="auto"/>
        <w:bottom w:val="none" w:sz="0" w:space="0" w:color="auto"/>
        <w:right w:val="none" w:sz="0" w:space="0" w:color="auto"/>
      </w:divBdr>
    </w:div>
    <w:div w:id="1367370313">
      <w:bodyDiv w:val="1"/>
      <w:marLeft w:val="0"/>
      <w:marRight w:val="0"/>
      <w:marTop w:val="0"/>
      <w:marBottom w:val="0"/>
      <w:divBdr>
        <w:top w:val="none" w:sz="0" w:space="0" w:color="auto"/>
        <w:left w:val="none" w:sz="0" w:space="0" w:color="auto"/>
        <w:bottom w:val="none" w:sz="0" w:space="0" w:color="auto"/>
        <w:right w:val="none" w:sz="0" w:space="0" w:color="auto"/>
      </w:divBdr>
    </w:div>
    <w:div w:id="1805394191">
      <w:bodyDiv w:val="1"/>
      <w:marLeft w:val="0"/>
      <w:marRight w:val="0"/>
      <w:marTop w:val="0"/>
      <w:marBottom w:val="0"/>
      <w:divBdr>
        <w:top w:val="none" w:sz="0" w:space="0" w:color="auto"/>
        <w:left w:val="none" w:sz="0" w:space="0" w:color="auto"/>
        <w:bottom w:val="none" w:sz="0" w:space="0" w:color="auto"/>
        <w:right w:val="none" w:sz="0" w:space="0" w:color="auto"/>
      </w:divBdr>
    </w:div>
    <w:div w:id="1971015980">
      <w:bodyDiv w:val="1"/>
      <w:marLeft w:val="0"/>
      <w:marRight w:val="0"/>
      <w:marTop w:val="0"/>
      <w:marBottom w:val="0"/>
      <w:divBdr>
        <w:top w:val="none" w:sz="0" w:space="0" w:color="auto"/>
        <w:left w:val="none" w:sz="0" w:space="0" w:color="auto"/>
        <w:bottom w:val="none" w:sz="0" w:space="0" w:color="auto"/>
        <w:right w:val="none" w:sz="0" w:space="0" w:color="auto"/>
      </w:divBdr>
    </w:div>
    <w:div w:id="1997761662">
      <w:bodyDiv w:val="1"/>
      <w:marLeft w:val="0"/>
      <w:marRight w:val="0"/>
      <w:marTop w:val="0"/>
      <w:marBottom w:val="0"/>
      <w:divBdr>
        <w:top w:val="none" w:sz="0" w:space="0" w:color="auto"/>
        <w:left w:val="none" w:sz="0" w:space="0" w:color="auto"/>
        <w:bottom w:val="none" w:sz="0" w:space="0" w:color="auto"/>
        <w:right w:val="none" w:sz="0" w:space="0" w:color="auto"/>
      </w:divBdr>
      <w:divsChild>
        <w:div w:id="133669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gracie/Dropbox/TEEB/EPN%20-%20Improved/Sent/Valoracion%20Economica%20MS%2026%20Feb%20with%20LUC.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marcioselva/Dropbox/TEEB/EPN%20-%20Improved/Sent/Valoracion%20Economica%20MS%2026%20Feb%20with%20LUC.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Users/marcioselva/Dropbox/TEEB/EPN%20-%20Improved/Sent/Valoracion%20Economica%20MS%2026%20Feb%20with%20LUC.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Users/marcioselva/Dropbox/TEEB/EPN%20-%20Improved/Sent/Valoracion%20Economica%20MS%2026%20Feb%20with%20LU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baseline="0">
                <a:effectLst/>
              </a:rPr>
              <a:t>Land Use Change by 2030</a:t>
            </a:r>
            <a:endParaRPr lang="en-US">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GB"/>
        </a:p>
      </c:txPr>
    </c:title>
    <c:autoTitleDeleted val="0"/>
    <c:plotArea>
      <c:layout/>
      <c:barChart>
        <c:barDir val="col"/>
        <c:grouping val="clustered"/>
        <c:varyColors val="0"/>
        <c:ser>
          <c:idx val="0"/>
          <c:order val="0"/>
          <c:tx>
            <c:strRef>
              <c:f>LUC!$M$26</c:f>
              <c:strCache>
                <c:ptCount val="1"/>
                <c:pt idx="0">
                  <c:v>Natural Vegetation; Forest + Paramo in (ha)</c:v>
                </c:pt>
              </c:strCache>
            </c:strRef>
          </c:tx>
          <c:spPr>
            <a:solidFill>
              <a:schemeClr val="accent6">
                <a:lumMod val="5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65000"/>
                        <a:lumOff val="35000"/>
                      </a:schemeClr>
                    </a:solidFill>
                    <a:latin typeface="+mn-lt"/>
                    <a:ea typeface="+mn-ea"/>
                    <a:cs typeface="+mn-cs"/>
                  </a:defRPr>
                </a:pPr>
                <a:endParaRPr lang="en-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LUC!$N$25:$P$25</c:f>
              <c:strCache>
                <c:ptCount val="3"/>
                <c:pt idx="0">
                  <c:v>Scenario DEG</c:v>
                </c:pt>
                <c:pt idx="1">
                  <c:v>Scenario FSB</c:v>
                </c:pt>
                <c:pt idx="2">
                  <c:v>Scenario PNI</c:v>
                </c:pt>
              </c:strCache>
            </c:strRef>
          </c:cat>
          <c:val>
            <c:numRef>
              <c:f>LUC!$N$26:$P$26</c:f>
              <c:numCache>
                <c:formatCode>#,##0</c:formatCode>
                <c:ptCount val="3"/>
                <c:pt idx="0">
                  <c:v>-41349.0</c:v>
                </c:pt>
                <c:pt idx="1">
                  <c:v>8925.0</c:v>
                </c:pt>
                <c:pt idx="2">
                  <c:v>49495.0</c:v>
                </c:pt>
              </c:numCache>
            </c:numRef>
          </c:val>
        </c:ser>
        <c:ser>
          <c:idx val="1"/>
          <c:order val="1"/>
          <c:tx>
            <c:strRef>
              <c:f>LUC!$M$27</c:f>
              <c:strCache>
                <c:ptCount val="1"/>
                <c:pt idx="0">
                  <c:v>Pasture área (ha)</c:v>
                </c:pt>
              </c:strCache>
            </c:strRef>
          </c:tx>
          <c:spPr>
            <a:solidFill>
              <a:schemeClr val="accent4">
                <a:lumMod val="5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65000"/>
                        <a:lumOff val="35000"/>
                      </a:schemeClr>
                    </a:solidFill>
                    <a:latin typeface="+mn-lt"/>
                    <a:ea typeface="+mn-ea"/>
                    <a:cs typeface="+mn-cs"/>
                  </a:defRPr>
                </a:pPr>
                <a:endParaRPr lang="en-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LUC!$N$25:$P$25</c:f>
              <c:strCache>
                <c:ptCount val="3"/>
                <c:pt idx="0">
                  <c:v>Scenario DEG</c:v>
                </c:pt>
                <c:pt idx="1">
                  <c:v>Scenario FSB</c:v>
                </c:pt>
                <c:pt idx="2">
                  <c:v>Scenario PNI</c:v>
                </c:pt>
              </c:strCache>
            </c:strRef>
          </c:cat>
          <c:val>
            <c:numRef>
              <c:f>LUC!$N$27:$P$27</c:f>
              <c:numCache>
                <c:formatCode>#,##0</c:formatCode>
                <c:ptCount val="3"/>
                <c:pt idx="0">
                  <c:v>39145.0</c:v>
                </c:pt>
                <c:pt idx="1">
                  <c:v>-8957.0</c:v>
                </c:pt>
                <c:pt idx="2">
                  <c:v>-49358.0</c:v>
                </c:pt>
              </c:numCache>
            </c:numRef>
          </c:val>
        </c:ser>
        <c:dLbls>
          <c:dLblPos val="inEnd"/>
          <c:showLegendKey val="0"/>
          <c:showVal val="1"/>
          <c:showCatName val="0"/>
          <c:showSerName val="0"/>
          <c:showPercent val="0"/>
          <c:showBubbleSize val="0"/>
        </c:dLbls>
        <c:gapWidth val="65"/>
        <c:axId val="1133885536"/>
        <c:axId val="1133857136"/>
      </c:barChart>
      <c:catAx>
        <c:axId val="1133885536"/>
        <c:scaling>
          <c:orientation val="minMax"/>
        </c:scaling>
        <c:delete val="0"/>
        <c:axPos val="b"/>
        <c:numFmt formatCode="General" sourceLinked="1"/>
        <c:majorTickMark val="none"/>
        <c:minorTickMark val="none"/>
        <c:tickLblPos val="high"/>
        <c:spPr>
          <a:noFill/>
          <a:ln w="25400" cap="flat" cmpd="sng" algn="ctr">
            <a:solidFill>
              <a:schemeClr val="bg1">
                <a:lumMod val="50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GB"/>
          </a:p>
        </c:txPr>
        <c:crossAx val="1133857136"/>
        <c:crosses val="autoZero"/>
        <c:auto val="1"/>
        <c:lblAlgn val="ctr"/>
        <c:lblOffset val="100"/>
        <c:noMultiLvlLbl val="0"/>
      </c:catAx>
      <c:valAx>
        <c:axId val="1133857136"/>
        <c:scaling>
          <c:orientation val="minMax"/>
        </c:scaling>
        <c:delete val="1"/>
        <c:axPos val="l"/>
        <c:numFmt formatCode="#,##0" sourceLinked="0"/>
        <c:majorTickMark val="none"/>
        <c:minorTickMark val="none"/>
        <c:tickLblPos val="nextTo"/>
        <c:crossAx val="11338855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GB"/>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DEG - net benefits for each year Vs. acumulated balance</a:t>
            </a:r>
            <a:r>
              <a:rPr lang="en-US" b="1" baseline="0"/>
              <a:t> (NPV)</a:t>
            </a:r>
            <a:endParaRPr lang="en-US" b="1"/>
          </a:p>
        </c:rich>
      </c:tx>
      <c:layout>
        <c:manualLayout>
          <c:xMode val="edge"/>
          <c:yMode val="edge"/>
          <c:x val="0.326590057166313"/>
          <c:y val="0.0464397573735591"/>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col"/>
        <c:grouping val="clustered"/>
        <c:varyColors val="0"/>
        <c:ser>
          <c:idx val="2"/>
          <c:order val="0"/>
          <c:tx>
            <c:strRef>
              <c:f>'Costeo (vs. BAU)'!$I$44</c:f>
              <c:strCache>
                <c:ptCount val="1"/>
                <c:pt idx="0">
                  <c:v>net benefits for each year</c:v>
                </c:pt>
              </c:strCache>
            </c:strRef>
          </c:tx>
          <c:spPr>
            <a:solidFill>
              <a:schemeClr val="accent4"/>
            </a:solidFill>
            <a:ln>
              <a:noFill/>
            </a:ln>
            <a:effectLst/>
          </c:spPr>
          <c:invertIfNegative val="0"/>
          <c:cat>
            <c:numRef>
              <c:f>'Costeo (vs. BAU)'!$B$10:$B$23</c:f>
              <c:numCache>
                <c:formatCode>General</c:formatCode>
                <c:ptCount val="14"/>
                <c:pt idx="0">
                  <c:v>2017.0</c:v>
                </c:pt>
                <c:pt idx="1">
                  <c:v>2018.0</c:v>
                </c:pt>
                <c:pt idx="2">
                  <c:v>2019.0</c:v>
                </c:pt>
                <c:pt idx="3">
                  <c:v>2020.0</c:v>
                </c:pt>
                <c:pt idx="4">
                  <c:v>2021.0</c:v>
                </c:pt>
                <c:pt idx="5">
                  <c:v>2022.0</c:v>
                </c:pt>
                <c:pt idx="6">
                  <c:v>2023.0</c:v>
                </c:pt>
                <c:pt idx="7">
                  <c:v>2024.0</c:v>
                </c:pt>
                <c:pt idx="8">
                  <c:v>2025.0</c:v>
                </c:pt>
                <c:pt idx="9">
                  <c:v>2026.0</c:v>
                </c:pt>
                <c:pt idx="10">
                  <c:v>2027.0</c:v>
                </c:pt>
                <c:pt idx="11">
                  <c:v>2028.0</c:v>
                </c:pt>
                <c:pt idx="12">
                  <c:v>2029.0</c:v>
                </c:pt>
                <c:pt idx="13">
                  <c:v>2030.0</c:v>
                </c:pt>
              </c:numCache>
            </c:numRef>
          </c:cat>
          <c:val>
            <c:numRef>
              <c:f>'Costeo (vs. BAU)'!$I$46:$I$59</c:f>
              <c:numCache>
                <c:formatCode>_(* #,##0_);_(* \(#,##0\);_(* "-"??_);_(@_)</c:formatCode>
                <c:ptCount val="14"/>
                <c:pt idx="0">
                  <c:v>619279.3415093992</c:v>
                </c:pt>
                <c:pt idx="1">
                  <c:v>494769.1367034502</c:v>
                </c:pt>
                <c:pt idx="2">
                  <c:v>381228.9759331285</c:v>
                </c:pt>
                <c:pt idx="3">
                  <c:v>277880.4977161762</c:v>
                </c:pt>
                <c:pt idx="4">
                  <c:v>183994.652412463</c:v>
                </c:pt>
                <c:pt idx="5">
                  <c:v>98888.82059323185</c:v>
                </c:pt>
                <c:pt idx="6">
                  <c:v>21924.08792178872</c:v>
                </c:pt>
                <c:pt idx="7">
                  <c:v>-47497.33127626983</c:v>
                </c:pt>
                <c:pt idx="8">
                  <c:v>-109934.5292288458</c:v>
                </c:pt>
                <c:pt idx="9">
                  <c:v>-165910.2058615046</c:v>
                </c:pt>
                <c:pt idx="10">
                  <c:v>-215912.8426876088</c:v>
                </c:pt>
                <c:pt idx="11">
                  <c:v>-260398.7559534932</c:v>
                </c:pt>
                <c:pt idx="12">
                  <c:v>-299794.0352463307</c:v>
                </c:pt>
                <c:pt idx="13">
                  <c:v>-334499.3214136292</c:v>
                </c:pt>
              </c:numCache>
            </c:numRef>
          </c:val>
          <c:extLst xmlns:c16r2="http://schemas.microsoft.com/office/drawing/2015/06/chart">
            <c:ext xmlns:c16="http://schemas.microsoft.com/office/drawing/2014/chart" uri="{C3380CC4-5D6E-409C-BE32-E72D297353CC}">
              <c16:uniqueId val="{00000000-E456-4644-B92E-F014F79A95E2}"/>
            </c:ext>
          </c:extLst>
        </c:ser>
        <c:ser>
          <c:idx val="3"/>
          <c:order val="1"/>
          <c:tx>
            <c:strRef>
              <c:f>'Costeo (vs. BAU)'!$J$44</c:f>
              <c:strCache>
                <c:ptCount val="1"/>
                <c:pt idx="0">
                  <c:v>NPV</c:v>
                </c:pt>
              </c:strCache>
            </c:strRef>
          </c:tx>
          <c:spPr>
            <a:solidFill>
              <a:schemeClr val="accent6">
                <a:lumMod val="60000"/>
              </a:schemeClr>
            </a:solidFill>
            <a:ln>
              <a:noFill/>
            </a:ln>
            <a:effectLst/>
          </c:spPr>
          <c:invertIfNegative val="0"/>
          <c:cat>
            <c:numRef>
              <c:f>'Costeo (vs. BAU)'!$B$10:$B$23</c:f>
              <c:numCache>
                <c:formatCode>General</c:formatCode>
                <c:ptCount val="14"/>
                <c:pt idx="0">
                  <c:v>2017.0</c:v>
                </c:pt>
                <c:pt idx="1">
                  <c:v>2018.0</c:v>
                </c:pt>
                <c:pt idx="2">
                  <c:v>2019.0</c:v>
                </c:pt>
                <c:pt idx="3">
                  <c:v>2020.0</c:v>
                </c:pt>
                <c:pt idx="4">
                  <c:v>2021.0</c:v>
                </c:pt>
                <c:pt idx="5">
                  <c:v>2022.0</c:v>
                </c:pt>
                <c:pt idx="6">
                  <c:v>2023.0</c:v>
                </c:pt>
                <c:pt idx="7">
                  <c:v>2024.0</c:v>
                </c:pt>
                <c:pt idx="8">
                  <c:v>2025.0</c:v>
                </c:pt>
                <c:pt idx="9">
                  <c:v>2026.0</c:v>
                </c:pt>
                <c:pt idx="10">
                  <c:v>2027.0</c:v>
                </c:pt>
                <c:pt idx="11">
                  <c:v>2028.0</c:v>
                </c:pt>
                <c:pt idx="12">
                  <c:v>2029.0</c:v>
                </c:pt>
                <c:pt idx="13">
                  <c:v>2030.0</c:v>
                </c:pt>
              </c:numCache>
            </c:numRef>
          </c:cat>
          <c:val>
            <c:numRef>
              <c:f>'Costeo (vs. BAU)'!$J$46:$J$59</c:f>
              <c:numCache>
                <c:formatCode>_(* #,##0_);_(* \(#,##0\);_(* "-"??_);_(@_)</c:formatCode>
                <c:ptCount val="14"/>
                <c:pt idx="0">
                  <c:v>619279.3415093992</c:v>
                </c:pt>
                <c:pt idx="1">
                  <c:v>1.11404847821285E6</c:v>
                </c:pt>
                <c:pt idx="2">
                  <c:v>1.49527745414598E6</c:v>
                </c:pt>
                <c:pt idx="3">
                  <c:v>1.77315795186215E6</c:v>
                </c:pt>
                <c:pt idx="4">
                  <c:v>1.95715260427462E6</c:v>
                </c:pt>
                <c:pt idx="5">
                  <c:v>2.05604142486785E6</c:v>
                </c:pt>
                <c:pt idx="6">
                  <c:v>2.07796551278964E6</c:v>
                </c:pt>
                <c:pt idx="7">
                  <c:v>2.03046818151337E6</c:v>
                </c:pt>
                <c:pt idx="8">
                  <c:v>1.92053365228452E6</c:v>
                </c:pt>
                <c:pt idx="9">
                  <c:v>1.75462344642302E6</c:v>
                </c:pt>
                <c:pt idx="10">
                  <c:v>1.53871060373541E6</c:v>
                </c:pt>
                <c:pt idx="11">
                  <c:v>1.27831184778191E6</c:v>
                </c:pt>
                <c:pt idx="12">
                  <c:v>978517.8125355843</c:v>
                </c:pt>
                <c:pt idx="13">
                  <c:v>644018.4911219552</c:v>
                </c:pt>
              </c:numCache>
            </c:numRef>
          </c:val>
          <c:extLst xmlns:c16r2="http://schemas.microsoft.com/office/drawing/2015/06/chart">
            <c:ext xmlns:c16="http://schemas.microsoft.com/office/drawing/2014/chart" uri="{C3380CC4-5D6E-409C-BE32-E72D297353CC}">
              <c16:uniqueId val="{00000001-E456-4644-B92E-F014F79A95E2}"/>
            </c:ext>
          </c:extLst>
        </c:ser>
        <c:dLbls>
          <c:showLegendKey val="0"/>
          <c:showVal val="0"/>
          <c:showCatName val="0"/>
          <c:showSerName val="0"/>
          <c:showPercent val="0"/>
          <c:showBubbleSize val="0"/>
        </c:dLbls>
        <c:gapWidth val="150"/>
        <c:axId val="1134455424"/>
        <c:axId val="889005488"/>
      </c:barChart>
      <c:catAx>
        <c:axId val="1134455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889005488"/>
        <c:crossesAt val="0.0"/>
        <c:auto val="1"/>
        <c:lblAlgn val="ctr"/>
        <c:lblOffset val="100"/>
        <c:noMultiLvlLbl val="0"/>
      </c:catAx>
      <c:valAx>
        <c:axId val="889005488"/>
        <c:scaling>
          <c:orientation val="minMax"/>
          <c:max val="2.5E6"/>
          <c:min val="-5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USD</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GB"/>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134455424"/>
        <c:crosses val="autoZero"/>
        <c:crossBetween val="between"/>
        <c:minorUnit val="460000.0"/>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FSB - net benefits for each year</a:t>
            </a:r>
            <a:r>
              <a:rPr lang="en-US" b="1" baseline="0"/>
              <a:t> Vs. acumulated balance </a:t>
            </a:r>
            <a:r>
              <a:rPr lang="en-US" b="1"/>
              <a:t>(NPV)</a:t>
            </a:r>
          </a:p>
        </c:rich>
      </c:tx>
      <c:layout>
        <c:manualLayout>
          <c:xMode val="edge"/>
          <c:yMode val="edge"/>
          <c:x val="0.181395348837209"/>
          <c:y val="0.0519205995386504"/>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col"/>
        <c:grouping val="clustered"/>
        <c:varyColors val="0"/>
        <c:ser>
          <c:idx val="2"/>
          <c:order val="0"/>
          <c:tx>
            <c:strRef>
              <c:f>'Costeo (vs. BAU)'!$I$44</c:f>
              <c:strCache>
                <c:ptCount val="1"/>
                <c:pt idx="0">
                  <c:v>net benefits for each year</c:v>
                </c:pt>
              </c:strCache>
            </c:strRef>
          </c:tx>
          <c:spPr>
            <a:solidFill>
              <a:schemeClr val="accent4"/>
            </a:solidFill>
            <a:ln>
              <a:noFill/>
            </a:ln>
            <a:effectLst/>
          </c:spPr>
          <c:invertIfNegative val="0"/>
          <c:cat>
            <c:numRef>
              <c:f>'Costeo (vs. BAU)'!$B$10:$B$23</c:f>
              <c:numCache>
                <c:formatCode>General</c:formatCode>
                <c:ptCount val="14"/>
                <c:pt idx="0">
                  <c:v>2017.0</c:v>
                </c:pt>
                <c:pt idx="1">
                  <c:v>2018.0</c:v>
                </c:pt>
                <c:pt idx="2">
                  <c:v>2019.0</c:v>
                </c:pt>
                <c:pt idx="3">
                  <c:v>2020.0</c:v>
                </c:pt>
                <c:pt idx="4">
                  <c:v>2021.0</c:v>
                </c:pt>
                <c:pt idx="5">
                  <c:v>2022.0</c:v>
                </c:pt>
                <c:pt idx="6">
                  <c:v>2023.0</c:v>
                </c:pt>
                <c:pt idx="7">
                  <c:v>2024.0</c:v>
                </c:pt>
                <c:pt idx="8">
                  <c:v>2025.0</c:v>
                </c:pt>
                <c:pt idx="9">
                  <c:v>2026.0</c:v>
                </c:pt>
                <c:pt idx="10">
                  <c:v>2027.0</c:v>
                </c:pt>
                <c:pt idx="11">
                  <c:v>2028.0</c:v>
                </c:pt>
                <c:pt idx="12">
                  <c:v>2029.0</c:v>
                </c:pt>
                <c:pt idx="13">
                  <c:v>2030.0</c:v>
                </c:pt>
              </c:numCache>
            </c:numRef>
          </c:cat>
          <c:val>
            <c:numRef>
              <c:f>'Costeo (vs. BAU)'!$I$65:$I$78</c:f>
              <c:numCache>
                <c:formatCode>_(* #,##0_);_(* \(#,##0\);_(* "-"??_);_(@_)</c:formatCode>
                <c:ptCount val="14"/>
                <c:pt idx="0">
                  <c:v>-156955.7749056781</c:v>
                </c:pt>
                <c:pt idx="1">
                  <c:v>-124699.524919893</c:v>
                </c:pt>
                <c:pt idx="2">
                  <c:v>-93111.68498157774</c:v>
                </c:pt>
                <c:pt idx="3">
                  <c:v>-62360.33218379017</c:v>
                </c:pt>
                <c:pt idx="4">
                  <c:v>-32584.42741634173</c:v>
                </c:pt>
                <c:pt idx="5">
                  <c:v>-3897.022854503623</c:v>
                </c:pt>
                <c:pt idx="6">
                  <c:v>23611.82583795326</c:v>
                </c:pt>
                <c:pt idx="7">
                  <c:v>49872.41799906534</c:v>
                </c:pt>
                <c:pt idx="8">
                  <c:v>74833.01447840544</c:v>
                </c:pt>
                <c:pt idx="9">
                  <c:v>98457.6712695332</c:v>
                </c:pt>
                <c:pt idx="10">
                  <c:v>120724.2810113882</c:v>
                </c:pt>
                <c:pt idx="11">
                  <c:v>141622.8046260611</c:v>
                </c:pt>
                <c:pt idx="12">
                  <c:v>161153.6767657296</c:v>
                </c:pt>
                <c:pt idx="13">
                  <c:v>179340.8945325206</c:v>
                </c:pt>
              </c:numCache>
            </c:numRef>
          </c:val>
          <c:extLst xmlns:c16r2="http://schemas.microsoft.com/office/drawing/2015/06/chart">
            <c:ext xmlns:c16="http://schemas.microsoft.com/office/drawing/2014/chart" uri="{C3380CC4-5D6E-409C-BE32-E72D297353CC}">
              <c16:uniqueId val="{00000000-BF99-3648-9BDA-076543FD2FD9}"/>
            </c:ext>
          </c:extLst>
        </c:ser>
        <c:ser>
          <c:idx val="3"/>
          <c:order val="1"/>
          <c:tx>
            <c:strRef>
              <c:f>'Costeo (vs. BAU)'!$J$63</c:f>
              <c:strCache>
                <c:ptCount val="1"/>
                <c:pt idx="0">
                  <c:v>NPV</c:v>
                </c:pt>
              </c:strCache>
            </c:strRef>
          </c:tx>
          <c:spPr>
            <a:solidFill>
              <a:schemeClr val="accent6">
                <a:lumMod val="60000"/>
              </a:schemeClr>
            </a:solidFill>
            <a:ln>
              <a:noFill/>
            </a:ln>
            <a:effectLst/>
          </c:spPr>
          <c:invertIfNegative val="0"/>
          <c:cat>
            <c:numRef>
              <c:f>'Costeo (vs. BAU)'!$B$10:$B$23</c:f>
              <c:numCache>
                <c:formatCode>General</c:formatCode>
                <c:ptCount val="14"/>
                <c:pt idx="0">
                  <c:v>2017.0</c:v>
                </c:pt>
                <c:pt idx="1">
                  <c:v>2018.0</c:v>
                </c:pt>
                <c:pt idx="2">
                  <c:v>2019.0</c:v>
                </c:pt>
                <c:pt idx="3">
                  <c:v>2020.0</c:v>
                </c:pt>
                <c:pt idx="4">
                  <c:v>2021.0</c:v>
                </c:pt>
                <c:pt idx="5">
                  <c:v>2022.0</c:v>
                </c:pt>
                <c:pt idx="6">
                  <c:v>2023.0</c:v>
                </c:pt>
                <c:pt idx="7">
                  <c:v>2024.0</c:v>
                </c:pt>
                <c:pt idx="8">
                  <c:v>2025.0</c:v>
                </c:pt>
                <c:pt idx="9">
                  <c:v>2026.0</c:v>
                </c:pt>
                <c:pt idx="10">
                  <c:v>2027.0</c:v>
                </c:pt>
                <c:pt idx="11">
                  <c:v>2028.0</c:v>
                </c:pt>
                <c:pt idx="12">
                  <c:v>2029.0</c:v>
                </c:pt>
                <c:pt idx="13">
                  <c:v>2030.0</c:v>
                </c:pt>
              </c:numCache>
            </c:numRef>
          </c:cat>
          <c:val>
            <c:numRef>
              <c:f>'Costeo (vs. BAU)'!$J$65:$J$78</c:f>
              <c:numCache>
                <c:formatCode>_(* #,##0_);_(* \(#,##0\);_(* "-"??_);_(@_)</c:formatCode>
                <c:ptCount val="14"/>
                <c:pt idx="0">
                  <c:v>-156955.7749056781</c:v>
                </c:pt>
                <c:pt idx="1">
                  <c:v>-281655.299825571</c:v>
                </c:pt>
                <c:pt idx="2">
                  <c:v>-374766.9848071488</c:v>
                </c:pt>
                <c:pt idx="3">
                  <c:v>-437127.3169909381</c:v>
                </c:pt>
                <c:pt idx="4">
                  <c:v>-469711.7444072806</c:v>
                </c:pt>
                <c:pt idx="5">
                  <c:v>-473608.7672617843</c:v>
                </c:pt>
                <c:pt idx="6">
                  <c:v>-449996.941423831</c:v>
                </c:pt>
                <c:pt idx="7">
                  <c:v>-400124.5234247657</c:v>
                </c:pt>
                <c:pt idx="8">
                  <c:v>-325291.5089463601</c:v>
                </c:pt>
                <c:pt idx="9">
                  <c:v>-226833.8376768271</c:v>
                </c:pt>
                <c:pt idx="10">
                  <c:v>-106109.556665439</c:v>
                </c:pt>
                <c:pt idx="11">
                  <c:v>35513.24796062218</c:v>
                </c:pt>
                <c:pt idx="12">
                  <c:v>196666.9247263517</c:v>
                </c:pt>
                <c:pt idx="13">
                  <c:v>376007.8192588727</c:v>
                </c:pt>
              </c:numCache>
            </c:numRef>
          </c:val>
          <c:extLst xmlns:c16r2="http://schemas.microsoft.com/office/drawing/2015/06/chart">
            <c:ext xmlns:c16="http://schemas.microsoft.com/office/drawing/2014/chart" uri="{C3380CC4-5D6E-409C-BE32-E72D297353CC}">
              <c16:uniqueId val="{00000001-BF99-3648-9BDA-076543FD2FD9}"/>
            </c:ext>
          </c:extLst>
        </c:ser>
        <c:dLbls>
          <c:showLegendKey val="0"/>
          <c:showVal val="0"/>
          <c:showCatName val="0"/>
          <c:showSerName val="0"/>
          <c:showPercent val="0"/>
          <c:showBubbleSize val="0"/>
        </c:dLbls>
        <c:gapWidth val="150"/>
        <c:axId val="1134195536"/>
        <c:axId val="888987984"/>
      </c:barChart>
      <c:catAx>
        <c:axId val="1134195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888987984"/>
        <c:crossesAt val="0.0"/>
        <c:auto val="1"/>
        <c:lblAlgn val="ctr"/>
        <c:lblOffset val="100"/>
        <c:noMultiLvlLbl val="0"/>
      </c:catAx>
      <c:valAx>
        <c:axId val="888987984"/>
        <c:scaling>
          <c:orientation val="minMax"/>
          <c:max val="500000.0"/>
          <c:min val="-5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USD</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GB"/>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134195536"/>
        <c:crosses val="autoZero"/>
        <c:crossBetween val="between"/>
        <c:minorUnit val="460000.0"/>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'Costeo (vs. BAU)'!$C$25</c:f>
              <c:strCache>
                <c:ptCount val="1"/>
                <c:pt idx="0">
                  <c:v>VPN Inversión en incentivos</c:v>
                </c:pt>
              </c:strCache>
            </c:strRef>
          </c:tx>
          <c:spPr>
            <a:solidFill>
              <a:schemeClr val="accent1"/>
            </a:solidFill>
            <a:ln>
              <a:noFill/>
            </a:ln>
            <a:effectLst/>
          </c:spPr>
          <c:invertIfNegative val="0"/>
          <c:cat>
            <c:strRef>
              <c:f>('Costeo (vs. BAU)'!$H$8:$J$8,'Costeo (vs. BAU)'!$G$8)</c:f>
              <c:strCache>
                <c:ptCount val="4"/>
                <c:pt idx="0">
                  <c:v>Restauración</c:v>
                </c:pt>
                <c:pt idx="1">
                  <c:v>Conservación zonas de importancia hídrica</c:v>
                </c:pt>
                <c:pt idx="2">
                  <c:v>Sistemas silvopastoriles</c:v>
                </c:pt>
                <c:pt idx="3">
                  <c:v>PNI</c:v>
                </c:pt>
              </c:strCache>
            </c:strRef>
          </c:cat>
          <c:val>
            <c:numRef>
              <c:f>'Costeo (vs. BAU)'!$H$25:$J$25</c:f>
              <c:numCache>
                <c:formatCode>"$"#,##0_);[Red]\("$"#,##0\)</c:formatCode>
                <c:ptCount val="3"/>
                <c:pt idx="0">
                  <c:v>-2.08907438691E7</c:v>
                </c:pt>
                <c:pt idx="1">
                  <c:v>-2.43285422108012E6</c:v>
                </c:pt>
                <c:pt idx="2">
                  <c:v>-1.03727570494435E7</c:v>
                </c:pt>
              </c:numCache>
            </c:numRef>
          </c:val>
          <c:extLst xmlns:c16r2="http://schemas.microsoft.com/office/drawing/2015/06/chart">
            <c:ext xmlns:c16="http://schemas.microsoft.com/office/drawing/2014/chart" uri="{C3380CC4-5D6E-409C-BE32-E72D297353CC}">
              <c16:uniqueId val="{00000000-A4ED-984F-858C-C72690C24CDC}"/>
            </c:ext>
          </c:extLst>
        </c:ser>
        <c:ser>
          <c:idx val="1"/>
          <c:order val="1"/>
          <c:tx>
            <c:strRef>
              <c:f>'Costeo (vs. BAU)'!$C$27</c:f>
              <c:strCache>
                <c:ptCount val="1"/>
                <c:pt idx="0">
                  <c:v>VPN Costos evitados</c:v>
                </c:pt>
              </c:strCache>
            </c:strRef>
          </c:tx>
          <c:spPr>
            <a:solidFill>
              <a:schemeClr val="accent2"/>
            </a:solidFill>
            <a:ln>
              <a:noFill/>
            </a:ln>
            <a:effectLst/>
          </c:spPr>
          <c:invertIfNegative val="0"/>
          <c:cat>
            <c:strRef>
              <c:f>('Costeo (vs. BAU)'!$H$8:$J$8,'Costeo (vs. BAU)'!$G$8)</c:f>
              <c:strCache>
                <c:ptCount val="4"/>
                <c:pt idx="0">
                  <c:v>Restauración</c:v>
                </c:pt>
                <c:pt idx="1">
                  <c:v>Conservación zonas de importancia hídrica</c:v>
                </c:pt>
                <c:pt idx="2">
                  <c:v>Sistemas silvopastoriles</c:v>
                </c:pt>
                <c:pt idx="3">
                  <c:v>PNI</c:v>
                </c:pt>
              </c:strCache>
            </c:strRef>
          </c:cat>
          <c:val>
            <c:numRef>
              <c:f>'Costeo (vs. BAU)'!$H$27:$J$27</c:f>
              <c:numCache>
                <c:formatCode>"$"#,##0_);[Red]\("$"#,##0\)</c:formatCode>
                <c:ptCount val="3"/>
                <c:pt idx="0">
                  <c:v>51819.7899976261</c:v>
                </c:pt>
                <c:pt idx="1">
                  <c:v>104051.1032855511</c:v>
                </c:pt>
                <c:pt idx="2">
                  <c:v>41271.40806812793</c:v>
                </c:pt>
              </c:numCache>
            </c:numRef>
          </c:val>
          <c:extLst xmlns:c16r2="http://schemas.microsoft.com/office/drawing/2015/06/chart">
            <c:ext xmlns:c16="http://schemas.microsoft.com/office/drawing/2014/chart" uri="{C3380CC4-5D6E-409C-BE32-E72D297353CC}">
              <c16:uniqueId val="{00000001-A4ED-984F-858C-C72690C24CDC}"/>
            </c:ext>
          </c:extLst>
        </c:ser>
        <c:ser>
          <c:idx val="2"/>
          <c:order val="2"/>
          <c:tx>
            <c:strRef>
              <c:f>'Costeo (vs. BAU)'!$C$29</c:f>
              <c:strCache>
                <c:ptCount val="1"/>
                <c:pt idx="0">
                  <c:v>VPN Ingresos incremental vs BAU</c:v>
                </c:pt>
              </c:strCache>
            </c:strRef>
          </c:tx>
          <c:spPr>
            <a:solidFill>
              <a:schemeClr val="accent3"/>
            </a:solidFill>
            <a:ln>
              <a:noFill/>
            </a:ln>
            <a:effectLst/>
          </c:spPr>
          <c:invertIfNegative val="0"/>
          <c:cat>
            <c:strRef>
              <c:f>('Costeo (vs. BAU)'!$H$8:$J$8,'Costeo (vs. BAU)'!$G$8)</c:f>
              <c:strCache>
                <c:ptCount val="4"/>
                <c:pt idx="0">
                  <c:v>Restauración</c:v>
                </c:pt>
                <c:pt idx="1">
                  <c:v>Conservación zonas de importancia hídrica</c:v>
                </c:pt>
                <c:pt idx="2">
                  <c:v>Sistemas silvopastoriles</c:v>
                </c:pt>
                <c:pt idx="3">
                  <c:v>PNI</c:v>
                </c:pt>
              </c:strCache>
            </c:strRef>
          </c:cat>
          <c:val>
            <c:numRef>
              <c:f>'Costeo (vs. BAU)'!$H$29:$J$29</c:f>
              <c:numCache>
                <c:formatCode>"$"#,##0_);[Red]\("$"#,##0\)</c:formatCode>
                <c:ptCount val="3"/>
                <c:pt idx="0">
                  <c:v>4.35841754269886E6</c:v>
                </c:pt>
                <c:pt idx="1">
                  <c:v>8.5741980744288E6</c:v>
                </c:pt>
                <c:pt idx="2">
                  <c:v>3.68284025575161E6</c:v>
                </c:pt>
              </c:numCache>
            </c:numRef>
          </c:val>
          <c:extLst xmlns:c16r2="http://schemas.microsoft.com/office/drawing/2015/06/chart">
            <c:ext xmlns:c16="http://schemas.microsoft.com/office/drawing/2014/chart" uri="{C3380CC4-5D6E-409C-BE32-E72D297353CC}">
              <c16:uniqueId val="{00000002-A4ED-984F-858C-C72690C24CDC}"/>
            </c:ext>
          </c:extLst>
        </c:ser>
        <c:ser>
          <c:idx val="3"/>
          <c:order val="3"/>
          <c:tx>
            <c:strRef>
              <c:f>'Costeo (vs. BAU)'!$C$31</c:f>
              <c:strCache>
                <c:ptCount val="1"/>
                <c:pt idx="0">
                  <c:v>Balance</c:v>
                </c:pt>
              </c:strCache>
            </c:strRef>
          </c:tx>
          <c:spPr>
            <a:solidFill>
              <a:srgbClr val="702FA2"/>
            </a:solidFill>
            <a:ln>
              <a:noFill/>
            </a:ln>
            <a:effectLst/>
          </c:spPr>
          <c:invertIfNegative val="0"/>
          <c:cat>
            <c:strRef>
              <c:f>('Costeo (vs. BAU)'!$H$8:$J$8,'Costeo (vs. BAU)'!$G$8)</c:f>
              <c:strCache>
                <c:ptCount val="4"/>
                <c:pt idx="0">
                  <c:v>Restauración</c:v>
                </c:pt>
                <c:pt idx="1">
                  <c:v>Conservación zonas de importancia hídrica</c:v>
                </c:pt>
                <c:pt idx="2">
                  <c:v>Sistemas silvopastoriles</c:v>
                </c:pt>
                <c:pt idx="3">
                  <c:v>PNI</c:v>
                </c:pt>
              </c:strCache>
            </c:strRef>
          </c:cat>
          <c:val>
            <c:numRef>
              <c:f>'Costeo (vs. BAU)'!$H$31:$J$31</c:f>
              <c:numCache>
                <c:formatCode>"$"#,##0_);[Red]\("$"#,##0\)</c:formatCode>
                <c:ptCount val="3"/>
                <c:pt idx="0">
                  <c:v>-1.64805065364035E7</c:v>
                </c:pt>
                <c:pt idx="1">
                  <c:v>6.24539495663423E6</c:v>
                </c:pt>
                <c:pt idx="2">
                  <c:v>-6.64864538562376E6</c:v>
                </c:pt>
              </c:numCache>
            </c:numRef>
          </c:val>
          <c:extLst xmlns:c16r2="http://schemas.microsoft.com/office/drawing/2015/06/chart">
            <c:ext xmlns:c16="http://schemas.microsoft.com/office/drawing/2014/chart" uri="{C3380CC4-5D6E-409C-BE32-E72D297353CC}">
              <c16:uniqueId val="{00000003-A4ED-984F-858C-C72690C24CDC}"/>
            </c:ext>
          </c:extLst>
        </c:ser>
        <c:dLbls>
          <c:showLegendKey val="0"/>
          <c:showVal val="0"/>
          <c:showCatName val="0"/>
          <c:showSerName val="0"/>
          <c:showPercent val="0"/>
          <c:showBubbleSize val="0"/>
        </c:dLbls>
        <c:gapWidth val="150"/>
        <c:axId val="996069824"/>
        <c:axId val="1134230080"/>
      </c:barChart>
      <c:catAx>
        <c:axId val="996069824"/>
        <c:scaling>
          <c:orientation val="minMax"/>
        </c:scaling>
        <c:delete val="1"/>
        <c:axPos val="b"/>
        <c:numFmt formatCode="General" sourceLinked="1"/>
        <c:majorTickMark val="none"/>
        <c:minorTickMark val="none"/>
        <c:tickLblPos val="nextTo"/>
        <c:crossAx val="1134230080"/>
        <c:crossesAt val="0.0"/>
        <c:auto val="1"/>
        <c:lblAlgn val="ctr"/>
        <c:lblOffset val="100"/>
        <c:noMultiLvlLbl val="0"/>
      </c:catAx>
      <c:valAx>
        <c:axId val="1134230080"/>
        <c:scaling>
          <c:orientation val="minMax"/>
          <c:max val="2.3E7"/>
          <c:min val="-2.3E7"/>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USD</a:t>
                </a:r>
              </a:p>
            </c:rich>
          </c:tx>
          <c:layout>
            <c:manualLayout>
              <c:xMode val="edge"/>
              <c:yMode val="edge"/>
              <c:x val="0.0351753404963021"/>
              <c:y val="0.38151239972845"/>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GB"/>
            </a:p>
          </c:txPr>
        </c:title>
        <c:numFmt formatCode="&quot;$&quot;#,##0" sourceLinked="0"/>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GB"/>
          </a:p>
        </c:txPr>
        <c:crossAx val="996069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2139</Words>
  <Characters>12197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Selva</dc:creator>
  <cp:keywords/>
  <dc:description/>
  <cp:lastModifiedBy>Marcio Selva</cp:lastModifiedBy>
  <cp:revision>2</cp:revision>
  <dcterms:created xsi:type="dcterms:W3CDTF">2018-04-25T13:48:00Z</dcterms:created>
  <dcterms:modified xsi:type="dcterms:W3CDTF">2018-04-25T13:48:00Z</dcterms:modified>
</cp:coreProperties>
</file>